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3925570</wp:posOffset>
            </wp:positionH>
            <wp:positionV relativeFrom="paragraph">
              <wp:posOffset>-608965</wp:posOffset>
            </wp:positionV>
            <wp:extent cx="57150" cy="62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640715</wp:posOffset>
            </wp:positionV>
            <wp:extent cx="6997065" cy="4808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Shlimak Anna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4491 CONCESSION 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Cronos 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368,362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03/19/2026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9,767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2.54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358,595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28,429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28,429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386,893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-1953895</wp:posOffset>
            </wp:positionV>
            <wp:extent cx="28575" cy="1959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5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common share of Cronos Group Inc.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19, 2025, the Reporting Person was granted 85,297 RSUs, vesting in three substantially equal annual installments beginning on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Aaron Werner,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03/20/2026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Anna Shlimak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22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5587365</wp:posOffset>
            </wp:positionH>
            <wp:positionV relativeFrom="paragraph">
              <wp:posOffset>-80010</wp:posOffset>
            </wp:positionV>
            <wp:extent cx="471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4953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2026-03-20T16:15:34Z</dcterms:created>
  <dcterms:modified xsi:type="dcterms:W3CDTF">2026-03-20T16:15:34Z</dcterms:modified>
</cp:coreProperties>
</file>