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3781780.xml.htm"/>
      <w:bookmarkStart w:id="1" w:name="kswkform4_177378178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JACOBSON JEFFREY DAVID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4491 CONCESSION RD 12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STAYNER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A6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L0M 1S0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Cronos Group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CRON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Growth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22"/>
        <w:gridCol w:w="902"/>
        <w:gridCol w:w="771"/>
        <w:gridCol w:w="599"/>
        <w:gridCol w:w="347"/>
        <w:gridCol w:w="927"/>
        <w:gridCol w:w="452"/>
        <w:gridCol w:w="614"/>
        <w:gridCol w:w="1158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2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2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59,191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507,233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22,552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2.5</w:t>
            </w:r>
            <w:r>
              <w:rPr/>
              <w:t xml:space="preserve"> </w:t>
            </w:r>
          </w:p>
        </w:tc>
        <w:tc>
          <w:tcPr>
            <w:tcW w:w="11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484,681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7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34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104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7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34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34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34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59,191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SHARES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59,191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335,475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represents a contingent right to receive one common share of Cronos Group Inc.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 March 15, 2023, the Reporting Person was granted 177,573 RSUs, vesting in three substantially equal annual installments beginning on the first anniversary of the grant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Aaron Werner, as attorney-in-fact for Jeffrey D. Jacobson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96124" TargetMode="External"/><Relationship Id="rId5" Type="http://schemas.openxmlformats.org/officeDocument/2006/relationships/hyperlink" Target="http://www.sec.gov/cgi-bin/browse-edgar?action=getcompany&amp;CIK=000165647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638</Words>
  <Characters>3447</Characters>
  <CharactersWithSpaces>4007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