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81912.xml.htm"/>
      <w:bookmarkStart w:id="1" w:name="kswkform4_17737819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Weigensberg Arye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2"/>
        <w:gridCol w:w="902"/>
        <w:gridCol w:w="771"/>
        <w:gridCol w:w="599"/>
        <w:gridCol w:w="347"/>
        <w:gridCol w:w="927"/>
        <w:gridCol w:w="452"/>
        <w:gridCol w:w="614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24,236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208,437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24,236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12,245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157,537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of Cronos Group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15, 2023, the reporting person was granted 72,709 RSUs, vesting in three substantially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16, 2026, the reporting person was granted 12,245 RSUs, vesting in three substantially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President, Head of Research and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B. Werner, as attorney-in-fact for Arye Weigensberg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121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3664</Characters>
  <CharactersWithSpaces>4260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