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81915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78105</wp:posOffset>
            </wp:positionV>
            <wp:extent cx="345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67945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CRONOS GROUP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61595</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sectPr>
      </w:pPr>
    </w:p>
    <w:p>
      <w:pPr>
        <w:spacing w:after="0" w:line="23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001-38403</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7" w:lineRule="exact"/>
        <w:rPr>
          <w:sz w:val="24"/>
          <w:szCs w:val="24"/>
          <w:color w:val="auto"/>
        </w:rPr>
      </w:pPr>
    </w:p>
    <w:p>
      <w:pPr>
        <w:sectPr>
          <w:pgSz w:w="11900" w:h="16838" w:orient="portrait"/>
          <w:cols w:equalWidth="0" w:num="3">
            <w:col w:w="4420" w:space="720"/>
            <w:col w:w="3300" w:space="720"/>
            <w:col w:w="2100"/>
          </w:cols>
          <w:pgMar w:left="320" w:top="1235" w:right="319" w:bottom="1440" w:gutter="0" w:footer="0" w:header="0"/>
          <w:type w:val="continuous"/>
        </w:sectPr>
      </w:pPr>
    </w:p>
    <w:p>
      <w:pPr>
        <w:jc w:val="center"/>
        <w:ind w:right="6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6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85" w:lineRule="exact"/>
        <w:rPr>
          <w:sz w:val="24"/>
          <w:szCs w:val="24"/>
          <w:color w:val="auto"/>
        </w:rPr>
      </w:pPr>
    </w:p>
    <w:p>
      <w:pPr>
        <w:sectPr>
          <w:pgSz w:w="11900" w:h="16838" w:orient="portrait"/>
          <w:cols w:equalWidth="0" w:num="3">
            <w:col w:w="4320" w:space="720"/>
            <w:col w:w="2880" w:space="720"/>
            <w:col w:w="2620"/>
          </w:cols>
          <w:pgMar w:left="320" w:top="1235" w:right="319" w:bottom="1440" w:gutter="0" w:footer="0" w:header="0"/>
          <w:type w:val="continuous"/>
        </w:sect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4491 Concession Rd 12</w:t>
      </w:r>
    </w:p>
    <w:p>
      <w:pPr>
        <w:spacing w:after="0" w:line="32"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Stayner, Ontario</w:t>
      </w:r>
    </w:p>
    <w:p>
      <w:pPr>
        <w:spacing w:after="0" w:line="34"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L0M 1S0</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900" w:space="720"/>
            <w:col w:w="2640"/>
          </w:cols>
          <w:pgMar w:left="320" w:top="1235" w:right="319" w:bottom="1440" w:gutter="0" w:footer="0" w:header="0"/>
          <w:type w:val="continuous"/>
        </w:sectPr>
      </w:pP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(416) 504-0004</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193040</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31F20"/>
              </w:rPr>
              <w:t>Name of each exchange on which registered</w:t>
            </w:r>
          </w:p>
        </w:tc>
      </w:tr>
      <w:tr>
        <w:trPr>
          <w:trHeight w:val="21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Shares, no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CRON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28" w:lineRule="exact"/>
        <w:rPr>
          <w:sz w:val="24"/>
          <w:szCs w:val="24"/>
          <w:color w:val="auto"/>
        </w:rPr>
      </w:pPr>
    </w:p>
    <w:p>
      <w:pPr>
        <w:ind w:left="100" w:right="280"/>
        <w:spacing w:after="0" w:line="271" w:lineRule="auto"/>
        <w:rPr>
          <w:sz w:val="20"/>
          <w:szCs w:val="20"/>
          <w:color w:val="auto"/>
        </w:rPr>
      </w:pPr>
      <w:r>
        <w:rPr>
          <w:rFonts w:ascii="Times New Roman" w:cs="Times New Roman" w:eastAsia="Times New Roman" w:hAnsi="Times New Roman"/>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jc w:val="right"/>
        <w:ind w:right="20"/>
        <w:spacing w:after="0" w:line="184" w:lineRule="exact"/>
        <w:rPr>
          <w:sz w:val="20"/>
          <w:szCs w:val="20"/>
          <w:color w:val="auto"/>
        </w:rPr>
      </w:pPr>
      <w:r>
        <w:rPr>
          <w:rFonts w:ascii="Times New Roman" w:cs="Times New Roman" w:eastAsia="Times New Roman" w:hAnsi="Times New Roman"/>
          <w:sz w:val="14"/>
          <w:szCs w:val="14"/>
          <w:color w:val="231F20"/>
        </w:rPr>
        <w:t xml:space="preserve">Emerging growth company </w:t>
      </w:r>
      <w:r>
        <w:rPr>
          <w:rFonts w:ascii="MS PGothic" w:cs="MS PGothic" w:eastAsia="MS PGothic" w:hAnsi="MS PGothic"/>
          <w:sz w:val="16"/>
          <w:szCs w:val="16"/>
          <w:color w:val="000000"/>
        </w:rPr>
        <w:t>☐</w:t>
      </w:r>
    </w:p>
    <w:p>
      <w:pPr>
        <w:spacing w:after="0" w:line="249" w:lineRule="exact"/>
        <w:rPr>
          <w:sz w:val="24"/>
          <w:szCs w:val="24"/>
          <w:color w:val="auto"/>
        </w:rPr>
      </w:pPr>
    </w:p>
    <w:p>
      <w:pPr>
        <w:ind w:left="80" w:right="500"/>
        <w:spacing w:after="0" w:line="193"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8, 2026, Cronos Group Inc. (the “Company”), its indirect wholly owned subsidiary, CGM B.V. (the “Purchaser”), “Ring” International Holding AG (“Ring”), and Landewyck Tobacco S.A. (“Landewyck,” and together with Ring, the “Sellers”) entered into an amendment (the “SPA Amendment”) to the Share Sale and Purchase Agreement, dated December 9, 2025 (the “SPA”) relating to the acquisition by the Purchaser of all of the issued and outstanding shares of CanAdelaar B.V., a private company with limited liability (“CanAdelaar”), one of ten licensed cannabis growers in the Dutch Controlled Cannabis Supply Chain Experiment.</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SPA Amendment, the parties agreed to amend the SPA to extend the Long Stop Date (as defined in the SPA) from June 9, 2026 to September 9, 2026. The extension provides additional time to satisfy certain closing conditions, including obtaining required regulatory clearances in the Netherlands, receipt of confirmations relating to CanAdelaar’s licenses and completion of the Bibob review (a background check conducted by Dutch authorities).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amended by the SPA Amendment, the SPA remains in full force and effect in accordance with its terms.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SPA Amendment does not purport to be complete and is qualified in its entirety by reference to the full text of the SPA Amendment, which is filed as Exhibit 2.1 to this Current Report on Form 8-K and is incorporated herein by reference.</w:t>
      </w:r>
    </w:p>
    <w:p>
      <w:pPr>
        <w:spacing w:after="0" w:line="1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2026, Cronos Group Inc. (the “Company”) issued a press release announcing its financial results for its first quarter ended March 31, 2026. A copy of the press release is attached as Exhibit 99.1 hereto and is incorporated by reference in this Current Report on Form 8-K.</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or other document pursuant to the Securities Act of 1933, as amended, or the Exchange Act, regardless of any general incorporation language in such filing, except as shall be expressly set forth by specific reference in such a filing or document.</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11, 2026, the Company announced that its Board of Directors authorized a share repurchase program of up to $50 million, which is intended to succeed the Company’s existing share repurchase program upon its scheduled expiration on May 13, 2026. The share repurchase program is expected to commence on May 14, 2026 and terminate on May 13, 2027, unless earlier terminated.</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Repurchases under the program may be made from time to time, either through open market purchases at then-prevailing market prices through the facilities of the Nasdaq Global Market or other U.S. published markets, privately negotiated transactions or otherwise. Open market repurchases will be limited to 5% of the number of common shares outstanding as of the applicable measurement time, the maximum amount permitted by applicable securities laws. The timing and amount of repurchases are subject to market conditions, compliance with applicable laws and regulations and any other factors management of the Company may deem relevant. The program does not obligate Cronos to acquire any specific dollar amount or number of shares and may be modified, suspended, or discontinued at any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regarding the share repurchase program is set forth in the press release attached hereto as Exhibit 99.1.</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360" w:type="dxa"/>
            <w:vAlign w:val="bottom"/>
          </w:tcPr>
          <w:p>
            <w:pPr>
              <w:spacing w:after="0"/>
              <w:rPr>
                <w:sz w:val="20"/>
                <w:szCs w:val="20"/>
                <w:color w:val="auto"/>
              </w:rPr>
            </w:pPr>
          </w:p>
        </w:tc>
        <w:tc>
          <w:tcPr>
            <w:tcW w:w="9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20" w:type="dxa"/>
            <w:vAlign w:val="bottom"/>
          </w:tcPr>
          <w:p>
            <w:pPr>
              <w:spacing w:after="0"/>
              <w:rPr>
                <w:sz w:val="20"/>
                <w:szCs w:val="20"/>
                <w:color w:val="auto"/>
              </w:rPr>
            </w:pPr>
          </w:p>
        </w:tc>
      </w:tr>
      <w:tr>
        <w:trPr>
          <w:trHeight w:val="196"/>
        </w:trPr>
        <w:tc>
          <w:tcPr>
            <w:tcW w:w="1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7"/>
                <w:szCs w:val="17"/>
                <w:color w:val="auto"/>
              </w:rPr>
            </w:pPr>
          </w:p>
        </w:tc>
        <w:tc>
          <w:tcPr>
            <w:tcW w:w="9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Agreement to Amend the Share Purchase Agreement, dated as of May 8, 2026 by and among Cronos Group Inc., CGM B.V.,</w:t>
            </w:r>
          </w:p>
        </w:tc>
      </w:tr>
      <w:tr>
        <w:trPr>
          <w:trHeight w:val="183"/>
        </w:trPr>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2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“Ring” International Holding AG and Landewyck Tobacco S.A.</w:t>
            </w:r>
          </w:p>
        </w:tc>
        <w:tc>
          <w:tcPr>
            <w:tcW w:w="380" w:type="dxa"/>
            <w:vAlign w:val="bottom"/>
            <w:gridSpan w:val="2"/>
          </w:tcPr>
          <w:p>
            <w:pPr>
              <w:spacing w:after="0"/>
              <w:rPr>
                <w:sz w:val="15"/>
                <w:szCs w:val="15"/>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1"/>
                <w:szCs w:val="21"/>
                <w:color w:val="auto"/>
              </w:rPr>
            </w:pPr>
          </w:p>
        </w:tc>
        <w:tc>
          <w:tcPr>
            <w:tcW w:w="4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issued by Cronos Group Inc., dated May 11, 2026.</w:t>
            </w:r>
          </w:p>
        </w:tc>
        <w:tc>
          <w:tcPr>
            <w:tcW w:w="4780" w:type="dxa"/>
            <w:vAlign w:val="bottom"/>
            <w:gridSpan w:val="3"/>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r>
      <w:tr>
        <w:trPr>
          <w:trHeight w:val="21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18"/>
                <w:szCs w:val="18"/>
                <w:color w:val="auto"/>
              </w:rPr>
            </w:pPr>
          </w:p>
        </w:tc>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from Cronos Group Inc.’s Current Report on Form 8-K filed on May 11,</w:t>
            </w: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2026 is formatted in Inline XBRL.</w:t>
            </w:r>
          </w:p>
        </w:tc>
      </w:tr>
      <w:tr>
        <w:trPr>
          <w:trHeight w:val="1514"/>
        </w:trPr>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CRONOS GROUP INC.</w:t>
            </w:r>
          </w:p>
        </w:tc>
      </w:tr>
      <w:tr>
        <w:trPr>
          <w:trHeight w:val="76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11, 2026</w:t>
            </w:r>
          </w:p>
        </w:tc>
        <w:tc>
          <w:tcPr>
            <w:tcW w:w="26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Gorenstein</w:t>
            </w:r>
          </w:p>
        </w:tc>
      </w:tr>
      <w:tr>
        <w:trPr>
          <w:trHeight w:val="218"/>
        </w:trPr>
        <w:tc>
          <w:tcPr>
            <w:tcW w:w="3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Michael Gorenstein</w:t>
            </w:r>
          </w:p>
        </w:tc>
      </w:tr>
      <w:tr>
        <w:trPr>
          <w:trHeight w:val="234"/>
        </w:trPr>
        <w:tc>
          <w:tcPr>
            <w:tcW w:w="3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8 MAY 2026</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CGM B.V.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the Purchaser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CRONOS GROUP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the Guarantor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"RING" INTERNATIONAL HOLDING AG</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LANDEWYCK TOBACCO S.A.</w:t>
      </w: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as the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22860</wp:posOffset>
            </wp:positionV>
            <wp:extent cx="27432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AGREEMENT TO AMEND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THE SHARE PURCHASE AGREEMENT</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DATED 9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26035</wp:posOffset>
            </wp:positionV>
            <wp:extent cx="27432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AMENDMENT AGREEMENT IS MADE ON 8 MAY 2026,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243" w:lineRule="exact"/>
        <w:rPr>
          <w:sz w:val="20"/>
          <w:szCs w:val="20"/>
          <w:color w:val="auto"/>
        </w:rPr>
      </w:pPr>
    </w:p>
    <w:p>
      <w:pPr>
        <w:ind w:left="560" w:right="380" w:hanging="552"/>
        <w:spacing w:after="0" w:line="287" w:lineRule="auto"/>
        <w:tabs>
          <w:tab w:leader="none" w:pos="5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CGM B.V.</w:t>
      </w:r>
      <w:r>
        <w:rPr>
          <w:rFonts w:ascii="Times New Roman" w:cs="Times New Roman" w:eastAsia="Times New Roman" w:hAnsi="Times New Roman"/>
          <w:sz w:val="20"/>
          <w:szCs w:val="20"/>
          <w:color w:val="auto"/>
        </w:rPr>
        <w:t>, a company incorporated under the laws of the Netherlands with its corporate seat in Amsterdam, the Netherlands,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with the trade register of the Dutch Chamber of Commerce under number 99005948 (the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560" w:right="200" w:hanging="552"/>
        <w:spacing w:after="0" w:line="273" w:lineRule="auto"/>
        <w:tabs>
          <w:tab w:leader="none" w:pos="5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CRONOS GROUP INC.</w:t>
      </w:r>
      <w:r>
        <w:rPr>
          <w:rFonts w:ascii="Times New Roman" w:cs="Times New Roman" w:eastAsia="Times New Roman" w:hAnsi="Times New Roman"/>
          <w:sz w:val="20"/>
          <w:szCs w:val="20"/>
          <w:color w:val="auto"/>
        </w:rPr>
        <w:t>, a company incorporated under the laws of British Columbia, with its registered office is at 1133 Melville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Street, Suite 3500, The Stack, Vancouver, BC V6E 4E5, registered under number C1256453 ("</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560" w:right="140" w:hanging="552"/>
        <w:spacing w:after="0" w:line="273" w:lineRule="auto"/>
        <w:tabs>
          <w:tab w:leader="none" w:pos="5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"RING" INTERNATIONAL HOLDING AG</w:t>
      </w:r>
      <w:r>
        <w:rPr>
          <w:rFonts w:ascii="Times New Roman" w:cs="Times New Roman" w:eastAsia="Times New Roman" w:hAnsi="Times New Roman"/>
          <w:sz w:val="20"/>
          <w:szCs w:val="20"/>
          <w:color w:val="auto"/>
        </w:rPr>
        <w:t>, a company incorporated under the laws of Austria with its corporate seat in Vienna,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Austria, registered with the Austrian commercial register under number FN 225112 y ("</w:t>
      </w:r>
      <w:r>
        <w:rPr>
          <w:rFonts w:ascii="Times New Roman" w:cs="Times New Roman" w:eastAsia="Times New Roman" w:hAnsi="Times New Roman"/>
          <w:sz w:val="20"/>
          <w:szCs w:val="20"/>
          <w:b w:val="1"/>
          <w:bCs w:val="1"/>
          <w:color w:val="auto"/>
        </w:rPr>
        <w:t>Ring</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ind w:left="560" w:right="300" w:hanging="552"/>
        <w:spacing w:after="0" w:line="315" w:lineRule="auto"/>
        <w:tabs>
          <w:tab w:leader="none" w:pos="55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LANDEWYCK TOBACCO S.A.</w:t>
      </w:r>
      <w:r>
        <w:rPr>
          <w:rFonts w:ascii="Times New Roman" w:cs="Times New Roman" w:eastAsia="Times New Roman" w:hAnsi="Times New Roman"/>
          <w:sz w:val="19"/>
          <w:szCs w:val="19"/>
          <w:color w:val="auto"/>
        </w:rPr>
        <w:t>, a company incorporated under the laws of Luxembourg with its corporate seat in Luxembourg,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Luxembourg, registered with the Luxembourg register of trade and companies under number B 174692 ("</w:t>
      </w:r>
      <w:r>
        <w:rPr>
          <w:rFonts w:ascii="Times New Roman" w:cs="Times New Roman" w:eastAsia="Times New Roman" w:hAnsi="Times New Roman"/>
          <w:sz w:val="19"/>
          <w:szCs w:val="19"/>
          <w:b w:val="1"/>
          <w:bCs w:val="1"/>
          <w:color w:val="auto"/>
        </w:rPr>
        <w:t>Landewyck</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color w:val="auto"/>
        </w:rPr>
        <w:t>The parties under (3) and (4) above are collectively referred to as the "</w:t>
      </w:r>
      <w:r>
        <w:rPr>
          <w:rFonts w:ascii="Times New Roman" w:cs="Times New Roman" w:eastAsia="Times New Roman" w:hAnsi="Times New Roman"/>
          <w:sz w:val="20"/>
          <w:szCs w:val="20"/>
          <w:b w:val="1"/>
          <w:bCs w:val="1"/>
          <w:color w:val="auto"/>
        </w:rPr>
        <w:t>Sellers</w:t>
      </w:r>
      <w:r>
        <w:rPr>
          <w:rFonts w:ascii="Times New Roman" w:cs="Times New Roman" w:eastAsia="Times New Roman" w:hAnsi="Times New Roman"/>
          <w:sz w:val="20"/>
          <w:szCs w:val="20"/>
          <w:color w:val="auto"/>
        </w:rPr>
        <w:t>" and individually as 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The above parties to this Agreement are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and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70" w:lineRule="exact"/>
        <w:rPr>
          <w:sz w:val="20"/>
          <w:szCs w:val="20"/>
          <w:color w:val="auto"/>
        </w:rPr>
      </w:pPr>
    </w:p>
    <w:p>
      <w:pPr>
        <w:jc w:val="both"/>
        <w:ind w:left="520" w:hanging="512"/>
        <w:spacing w:after="0" w:line="290" w:lineRule="auto"/>
        <w:tabs>
          <w:tab w:leader="none" w:pos="51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9 December 2025, the Parties entered into a share sale and purchase agreement (the "</w:t>
      </w:r>
      <w:r>
        <w:rPr>
          <w:rFonts w:ascii="Times New Roman" w:cs="Times New Roman" w:eastAsia="Times New Roman" w:hAnsi="Times New Roman"/>
          <w:sz w:val="20"/>
          <w:szCs w:val="20"/>
          <w:b w:val="1"/>
          <w:bCs w:val="1"/>
          <w:color w:val="auto"/>
        </w:rPr>
        <w:t>SPA</w:t>
      </w:r>
      <w:r>
        <w:rPr>
          <w:rFonts w:ascii="Times New Roman" w:cs="Times New Roman" w:eastAsia="Times New Roman" w:hAnsi="Times New Roman"/>
          <w:sz w:val="20"/>
          <w:szCs w:val="20"/>
          <w:color w:val="auto"/>
        </w:rPr>
        <w:t>") pursuant to which the Purchaser agreed to purchase from the Sellers all shares in the capital of CanAdelaar B.V., a company incorporated under the laws of the Netherlands with its corporate seat in Hellevoetsluis, the Netherlands, registered with the trade register of the Chamber of Commerce under number 73034401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The Guarantor has guaranteed the due and punctual performance of any other obligations by the Purchaser under the SPA.</w:t>
      </w:r>
    </w:p>
    <w:p>
      <w:pPr>
        <w:spacing w:after="0" w:line="207"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have determined that the Regulatory Conditions (as defined in the SPA) will not, or are unlikely to, be satisfied prior to the</w:t>
      </w:r>
    </w:p>
    <w:p>
      <w:pPr>
        <w:spacing w:after="0" w:line="65" w:lineRule="exact"/>
        <w:rPr>
          <w:rFonts w:ascii="Times New Roman" w:cs="Times New Roman" w:eastAsia="Times New Roman" w:hAnsi="Times New Roman"/>
          <w:sz w:val="19"/>
          <w:szCs w:val="19"/>
          <w:color w:val="auto"/>
        </w:rPr>
      </w:pPr>
    </w:p>
    <w:p>
      <w:pPr>
        <w:jc w:val="both"/>
        <w:ind w:left="520"/>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expiry of the Long Stop Date (as defined in the SPA), being 9 June 2026. As Parties nevertheless wish to proceed with the Transaction on the terms and conditions as set out in the SPA, they wish to amend the SPA in accordance with this amendment agreement (the "</w:t>
      </w:r>
      <w:r>
        <w:rPr>
          <w:rFonts w:ascii="Times New Roman" w:cs="Times New Roman" w:eastAsia="Times New Roman" w:hAnsi="Times New Roman"/>
          <w:sz w:val="20"/>
          <w:szCs w:val="20"/>
          <w:b w:val="1"/>
          <w:bCs w:val="1"/>
          <w:color w:val="auto"/>
        </w:rPr>
        <w:t>Amendment Agreement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 IS THEREFORE AGREED</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w:t>
      </w:r>
    </w:p>
    <w:p>
      <w:pPr>
        <w:spacing w:after="0" w:line="2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Capitalised words used but not defined in this Amendment Agreement shall have the meanings ascribed to them in the 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46" w:lineRule="exact"/>
        <w:rPr>
          <w:sz w:val="20"/>
          <w:szCs w:val="20"/>
          <w:color w:val="auto"/>
        </w:rPr>
      </w:pPr>
    </w:p>
    <w:p>
      <w:pPr>
        <w:jc w:val="both"/>
        <w:ind w:left="640" w:hanging="637"/>
        <w:spacing w:after="0" w:line="269" w:lineRule="auto"/>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In case of an ambiguity or a conflict between the provisions of the SPA on the one hand and the provisions of this Amendment Agreement on the other hand, the provisions of this Amendment Agreement shall prevail.</w:t>
      </w:r>
    </w:p>
    <w:p>
      <w:pPr>
        <w:spacing w:after="0" w:line="186" w:lineRule="exact"/>
        <w:rPr>
          <w:sz w:val="20"/>
          <w:szCs w:val="20"/>
          <w:color w:val="auto"/>
        </w:rPr>
      </w:pPr>
    </w:p>
    <w:p>
      <w:pPr>
        <w:jc w:val="both"/>
        <w:ind w:left="640" w:hanging="63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This Amendment Agreement forms and integral part of the SPA. After giving effect to this Amendment Agreement on the date hereof, each reference in the SPA to "this SPA", "hereof", "hereunder" or words of like import referring to the SPA shall refer to the SPA as amended by this Amendment Agreement.</w:t>
      </w:r>
    </w:p>
    <w:p>
      <w:pPr>
        <w:spacing w:after="0" w:line="285"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TO SPA</w:t>
      </w:r>
    </w:p>
    <w:p>
      <w:pPr>
        <w:spacing w:after="0" w:line="2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The Parties agree that clause 4.5.1 of the SPA is hereby amended and restated in its entirety as follows:</w:t>
      </w:r>
    </w:p>
    <w:p>
      <w:pPr>
        <w:spacing w:after="0" w:line="270" w:lineRule="exact"/>
        <w:rPr>
          <w:sz w:val="20"/>
          <w:szCs w:val="20"/>
          <w:color w:val="auto"/>
        </w:rPr>
      </w:pPr>
    </w:p>
    <w:p>
      <w:pPr>
        <w:jc w:val="both"/>
        <w:ind w:left="640"/>
        <w:spacing w:after="0" w:line="289" w:lineRule="auto"/>
        <w:rPr>
          <w:sz w:val="20"/>
          <w:szCs w:val="20"/>
          <w:color w:val="auto"/>
        </w:rPr>
      </w:pPr>
      <w:r>
        <w:rPr>
          <w:rFonts w:ascii="Times New Roman" w:cs="Times New Roman" w:eastAsia="Times New Roman" w:hAnsi="Times New Roman"/>
          <w:sz w:val="20"/>
          <w:szCs w:val="20"/>
          <w:color w:val="auto"/>
        </w:rPr>
        <w:t>"Subject to Clause 4.5.2, if the Conditions have not been satisfied or waived in accordance with Clause 4.4.2 or if Completion has not occurred on or before 9 September 2026 (the "</w:t>
      </w:r>
      <w:r>
        <w:rPr>
          <w:rFonts w:ascii="Times New Roman" w:cs="Times New Roman" w:eastAsia="Times New Roman" w:hAnsi="Times New Roman"/>
          <w:sz w:val="20"/>
          <w:szCs w:val="20"/>
          <w:b w:val="1"/>
          <w:bCs w:val="1"/>
          <w:color w:val="auto"/>
        </w:rPr>
        <w:t>Long Stop Date</w:t>
      </w:r>
      <w:r>
        <w:rPr>
          <w:rFonts w:ascii="Times New Roman" w:cs="Times New Roman" w:eastAsia="Times New Roman" w:hAnsi="Times New Roman"/>
          <w:sz w:val="20"/>
          <w:szCs w:val="20"/>
          <w:color w:val="auto"/>
        </w:rPr>
        <w:t>") or if before that date it transpires that the relevant Governmental Authorities have provided written notice that a Regulatory Condition is incapable of satisfaction by the Long Stop Date, and such Regulatory Condition is not waived by the Purchaser in accordance with Clause 4.4.2, this Agreement may be terminated with immediate effect by either the Purchaser or the Sellers giving notice to the other Party."</w:t>
      </w:r>
    </w:p>
    <w:p>
      <w:pPr>
        <w:spacing w:after="0" w:line="258"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AMENDMENT</w:t>
      </w:r>
    </w:p>
    <w:p>
      <w:pPr>
        <w:spacing w:after="0" w:line="273" w:lineRule="exact"/>
        <w:rPr>
          <w:rFonts w:ascii="Times New Roman" w:cs="Times New Roman" w:eastAsia="Times New Roman" w:hAnsi="Times New Roman"/>
          <w:sz w:val="20"/>
          <w:szCs w:val="20"/>
          <w:b w:val="1"/>
          <w:bCs w:val="1"/>
          <w:color w:val="auto"/>
        </w:rPr>
      </w:pPr>
    </w:p>
    <w:p>
      <w:pPr>
        <w:ind w:left="640" w:firstLine="1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explicitly amended by Clause 2 of this Amendment Agreement, the provisions of the SPA shall not be amended, supplemented and/or restated and shall remain in full force and effect in their current form.</w:t>
      </w:r>
    </w:p>
    <w:p>
      <w:pPr>
        <w:spacing w:after="0" w:line="236"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247" w:lineRule="exact"/>
        <w:rPr>
          <w:sz w:val="20"/>
          <w:szCs w:val="20"/>
          <w:color w:val="auto"/>
        </w:rPr>
      </w:pPr>
    </w:p>
    <w:p>
      <w:pPr>
        <w:jc w:val="both"/>
        <w:ind w:left="640" w:hanging="63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This Amendment Agreement constitutes an amendment to the SPA in compliance with the requirements contemplated by clause 21.5 of the SPA.</w:t>
      </w:r>
    </w:p>
    <w:p>
      <w:pPr>
        <w:spacing w:after="0" w:line="169" w:lineRule="exact"/>
        <w:rPr>
          <w:sz w:val="20"/>
          <w:szCs w:val="20"/>
          <w:color w:val="auto"/>
        </w:rPr>
      </w:pPr>
    </w:p>
    <w:p>
      <w:pPr>
        <w:jc w:val="both"/>
        <w:ind w:left="640" w:hanging="637"/>
        <w:spacing w:after="0" w:line="263" w:lineRule="auto"/>
        <w:tabs>
          <w:tab w:leader="none" w:pos="6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Clauses 1 (</w:t>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12.2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12.4 (</w:t>
      </w: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21.5 (</w:t>
      </w:r>
      <w:r>
        <w:rPr>
          <w:rFonts w:ascii="Times New Roman" w:cs="Times New Roman" w:eastAsia="Times New Roman" w:hAnsi="Times New Roman"/>
          <w:sz w:val="20"/>
          <w:szCs w:val="20"/>
          <w:i w:val="1"/>
          <w:iCs w:val="1"/>
          <w:color w:val="auto"/>
        </w:rPr>
        <w:t>Amendment</w:t>
      </w:r>
      <w:r>
        <w:rPr>
          <w:rFonts w:ascii="Times New Roman" w:cs="Times New Roman" w:eastAsia="Times New Roman" w:hAnsi="Times New Roman"/>
          <w:sz w:val="20"/>
          <w:szCs w:val="20"/>
          <w:color w:val="auto"/>
        </w:rPr>
        <w:t>), 21.8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21.15 (</w:t>
      </w:r>
      <w:r>
        <w:rPr>
          <w:rFonts w:ascii="Times New Roman" w:cs="Times New Roman" w:eastAsia="Times New Roman" w:hAnsi="Times New Roman"/>
          <w:sz w:val="20"/>
          <w:szCs w:val="20"/>
          <w:i w:val="1"/>
          <w:iCs w:val="1"/>
          <w:color w:val="auto"/>
        </w:rPr>
        <w:t>Notices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Sellers</w:t>
      </w:r>
      <w:r>
        <w:rPr>
          <w:rFonts w:ascii="Times New Roman" w:cs="Times New Roman" w:eastAsia="Times New Roman" w:hAnsi="Times New Roman"/>
          <w:sz w:val="20"/>
          <w:szCs w:val="20"/>
          <w:color w:val="auto"/>
        </w:rPr>
        <w:t>), 21.16 (</w:t>
      </w:r>
      <w:r>
        <w:rPr>
          <w:rFonts w:ascii="Times New Roman" w:cs="Times New Roman" w:eastAsia="Times New Roman" w:hAnsi="Times New Roman"/>
          <w:sz w:val="20"/>
          <w:szCs w:val="20"/>
          <w:i w:val="1"/>
          <w:iCs w:val="1"/>
          <w:color w:val="auto"/>
        </w:rPr>
        <w:t>Third party rights</w:t>
      </w:r>
      <w:r>
        <w:rPr>
          <w:rFonts w:ascii="Times New Roman" w:cs="Times New Roman" w:eastAsia="Times New Roman" w:hAnsi="Times New Roman"/>
          <w:sz w:val="20"/>
          <w:szCs w:val="20"/>
          <w:color w:val="auto"/>
        </w:rPr>
        <w:t>) and 21.19 (</w:t>
      </w:r>
      <w:r>
        <w:rPr>
          <w:rFonts w:ascii="Times New Roman" w:cs="Times New Roman" w:eastAsia="Times New Roman" w:hAnsi="Times New Roman"/>
          <w:sz w:val="20"/>
          <w:szCs w:val="20"/>
          <w:i w:val="1"/>
          <w:iCs w:val="1"/>
          <w:color w:val="auto"/>
        </w:rPr>
        <w:t>Jurisdiction</w:t>
      </w:r>
      <w:r>
        <w:rPr>
          <w:rFonts w:ascii="Times New Roman" w:cs="Times New Roman" w:eastAsia="Times New Roman" w:hAnsi="Times New Roman"/>
          <w:sz w:val="20"/>
          <w:szCs w:val="20"/>
          <w:color w:val="auto"/>
        </w:rPr>
        <w:t>), as well as the</w:t>
      </w:r>
      <w:r>
        <w:rPr>
          <w:rFonts w:ascii="Times New Roman" w:cs="Times New Roman" w:eastAsia="Times New Roman" w:hAnsi="Times New Roman"/>
          <w:sz w:val="20"/>
          <w:szCs w:val="20"/>
          <w:i w:val="1"/>
          <w:iCs w:val="1"/>
          <w:color w:val="auto"/>
        </w:rPr>
        <w:t xml:space="preserve"> Definitions Schedule </w:t>
      </w:r>
      <w:r>
        <w:rPr>
          <w:rFonts w:ascii="Times New Roman" w:cs="Times New Roman" w:eastAsia="Times New Roman" w:hAnsi="Times New Roman"/>
          <w:sz w:val="20"/>
          <w:szCs w:val="20"/>
          <w:color w:val="auto"/>
        </w:rPr>
        <w:t>of the SPA are incorporated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reference into this Amendment Agreement and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this Amendment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SIGNED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9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CGM B.V.</w:t>
            </w:r>
          </w:p>
        </w:tc>
        <w:tc>
          <w:tcPr>
            <w:tcW w:w="3420" w:type="dxa"/>
            <w:vAlign w:val="bottom"/>
          </w:tcPr>
          <w:p>
            <w:pPr>
              <w:spacing w:after="0"/>
              <w:rPr>
                <w:sz w:val="22"/>
                <w:szCs w:val="22"/>
                <w:color w:val="auto"/>
              </w:rPr>
            </w:pPr>
          </w:p>
        </w:tc>
      </w:tr>
      <w:tr>
        <w:trPr>
          <w:trHeight w:val="958"/>
        </w:trPr>
        <w:tc>
          <w:tcPr>
            <w:tcW w:w="5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Terrence G.J. Doucet</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Gerard J. van Spall</w:t>
            </w:r>
          </w:p>
        </w:tc>
      </w:tr>
      <w:tr>
        <w:trPr>
          <w:trHeight w:val="264"/>
        </w:trPr>
        <w:tc>
          <w:tcPr>
            <w:tcW w:w="3960" w:type="dxa"/>
            <w:vAlign w:val="bottom"/>
            <w:tcBorders>
              <w:bottom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r>
        <w:trPr>
          <w:trHeight w:val="25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By: Terrence G.J. Doucet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 Gerard J. van Spall</w:t>
            </w:r>
          </w:p>
        </w:tc>
      </w:tr>
      <w:tr>
        <w:trPr>
          <w:trHeight w:val="527"/>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Title: Managing Director A</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Title: Managing Director 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Cronos Group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2511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By: Michael Gorenstein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"RING" International Holding AG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Ralph-Leo Lanckor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251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By: Ralph-Leo Lanckor</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CEO</w:t>
      </w:r>
    </w:p>
    <w:p>
      <w:pPr>
        <w:sectPr>
          <w:pgSz w:w="11900" w:h="16838" w:orient="portrait"/>
          <w:cols w:equalWidth="0" w:num="1">
            <w:col w:w="10139"/>
          </w:cols>
          <w:pgMar w:left="320" w:top="144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Landewyck Tobacco S.A.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Daniel Einhäuser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185420</wp:posOffset>
            </wp:positionV>
            <wp:extent cx="251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By: Daniel Einhäuser</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60"/>
          </w:cols>
          <w:pgMar w:left="400" w:top="167"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577215</wp:posOffset>
            </wp:positionV>
            <wp:extent cx="1423035"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Cronos Group Reports 2026 First Quarter Results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revenue in Q1 2026 increased by 40% year-over-year to $45.2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Achieved record net revenue and gross profit in Q1 2026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Reached #1 market share in vapes in Canada</w:t>
      </w:r>
      <w:r>
        <w:rPr>
          <w:rFonts w:ascii="Arial" w:cs="Arial" w:eastAsia="Arial" w:hAnsi="Arial"/>
          <w:sz w:val="23"/>
          <w:szCs w:val="23"/>
          <w:i w:val="1"/>
          <w:iCs w:val="1"/>
          <w:color w:val="auto"/>
          <w:vertAlign w:val="superscript"/>
        </w:rPr>
        <w:t>1</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Ninth consecutive quarter of record net revenue in Israel, where PEACE NATURALS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continues to be the number one cannabis brand</w:t>
      </w:r>
      <w:r>
        <w:rPr>
          <w:rFonts w:ascii="Arial" w:cs="Arial" w:eastAsia="Arial" w:hAnsi="Arial"/>
          <w:sz w:val="23"/>
          <w:szCs w:val="23"/>
          <w:i w:val="1"/>
          <w:iCs w:val="1"/>
          <w:color w:val="auto"/>
          <w:vertAlign w:val="superscript"/>
        </w:rPr>
        <w:t>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Industry-leading balance sheet with $822 million in total cash and cash equivalents</w:t>
      </w:r>
    </w:p>
    <w:p>
      <w:pPr>
        <w:spacing w:after="0" w:line="200" w:lineRule="exact"/>
        <w:rPr>
          <w:sz w:val="20"/>
          <w:szCs w:val="20"/>
          <w:color w:val="auto"/>
        </w:rPr>
      </w:pP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TORONTO, May 11, 2026 - Cronos Group Inc. (NASDAQ: CRON) (TSX: CRON) (“Cronos” or the “Company”), today announced its 2026 first quarter business results.</w:t>
      </w:r>
    </w:p>
    <w:p>
      <w:pPr>
        <w:spacing w:after="0" w:line="39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“Cronos delivered record net revenue and gross profit in the first quarter, as we continue to execute against our borderless products strategy and as additional supply from the expansion at Cronos GrowCo fuels our next phase of growth. Cronos Israel delivered another record quarter, further cementing PEACE NATURALS</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as the #1 cannabis brand in the country. In other international markets, we achieved record quarterly net revenue, and we continue to see robust growth potential for our products in Europe. In Canada, the Spinach</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claimed the #1 position in vapes for the first time, while maintaining its outstanding #1 ranking in edibles,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 testament to the strength of our brand portfolio and our innovation platform,” said Mike Gorenstein, Chairman, President and CEO of Cronos.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executing on a clear and focused growth strategy. We are benefitting from increased volume following Cronos GrowCo’s expansion and sustained growth in our proprietary products across categories, with significant momentum in international markets, positioning Cronos to deliver sustainable net revenue and Adjusted EBITDA growth. Our pending acquisition of CanAdelaar, the leading operator in the Netherlands’ legal market, is expected to establish a strategic footprint for Cronos in Europe and enable us to leverage our borderless product strategy in a scaled adult-use market. Backed by an industry-leading balance sheet, we have the financial strength and flexibility to invest with discipline and deliver value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714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2" w:lineRule="exact"/>
        <w:rPr>
          <w:sz w:val="20"/>
          <w:szCs w:val="20"/>
          <w:color w:val="auto"/>
        </w:rPr>
      </w:pPr>
    </w:p>
    <w:p>
      <w:pPr>
        <w:ind w:left="100" w:hanging="92"/>
        <w:spacing w:after="0"/>
        <w:tabs>
          <w:tab w:leader="none" w:pos="1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Hifyre Retail Analytics - National Retail Dollar by Brand in Canada - Q1 2026.</w:t>
      </w:r>
    </w:p>
    <w:p>
      <w:pPr>
        <w:ind w:left="100" w:hanging="92"/>
        <w:spacing w:after="0" w:line="202" w:lineRule="auto"/>
        <w:tabs>
          <w:tab w:leader="none" w:pos="10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Market share and ranking information from pharmacy data collected by Cronos - Q1 2026.</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auto"/>
        </w:rPr>
        <w:t>Consolidated Financial Results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set forth our condensed consolidated results of operations, expressed in thousands of United States (“U.S.”) dollars for the periods presented. Our condensed consolidated financial results for these periods are not necessarily indicative of the consolidated financial results that we will achieve in future periods.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40" w:type="dxa"/>
            <w:vAlign w:val="bottom"/>
          </w:tcPr>
          <w:p>
            <w:pPr>
              <w:ind w:left="20"/>
              <w:spacing w:after="0"/>
              <w:rPr>
                <w:sz w:val="20"/>
                <w:szCs w:val="20"/>
                <w:color w:val="auto"/>
              </w:rPr>
            </w:pPr>
            <w:r>
              <w:rPr>
                <w:rFonts w:ascii="Arial" w:cs="Arial" w:eastAsia="Arial" w:hAnsi="Arial"/>
                <w:sz w:val="18"/>
                <w:szCs w:val="18"/>
                <w:color w:val="auto"/>
              </w:rPr>
              <w:t>(in thousands of USD)</w:t>
            </w:r>
          </w:p>
        </w:tc>
        <w:tc>
          <w:tcPr>
            <w:tcW w:w="160" w:type="dxa"/>
            <w:vAlign w:val="bottom"/>
          </w:tcPr>
          <w:p>
            <w:pPr>
              <w:spacing w:after="0"/>
              <w:rPr>
                <w:sz w:val="20"/>
                <w:szCs w:val="20"/>
                <w:color w:val="auto"/>
              </w:rPr>
            </w:pPr>
          </w:p>
        </w:tc>
        <w:tc>
          <w:tcPr>
            <w:tcW w:w="23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20"/>
                <w:szCs w:val="20"/>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65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6"/>
                <w:szCs w:val="16"/>
                <w:color w:val="auto"/>
              </w:rPr>
            </w:pPr>
          </w:p>
        </w:tc>
      </w:tr>
      <w:tr>
        <w:trPr>
          <w:trHeight w:val="20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45,210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32,262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12,948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0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25,392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18,528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6,864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write-down</w:t>
            </w:r>
          </w:p>
        </w:tc>
        <w:tc>
          <w:tcPr>
            <w:tcW w:w="16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19,153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13,734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5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Gross margin</w:t>
            </w:r>
            <w:r>
              <w:rPr>
                <w:rFonts w:ascii="Times New Roman" w:cs="Times New Roman" w:eastAsia="Times New Roman" w:hAnsi="Times New Roman"/>
                <w:sz w:val="18"/>
                <w:szCs w:val="18"/>
                <w:color w:val="auto"/>
                <w:vertAlign w:val="superscript"/>
              </w:rPr>
              <w:t>(i)</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(1)pp</w:t>
            </w:r>
          </w:p>
        </w:tc>
      </w:tr>
      <w:tr>
        <w:trPr>
          <w:trHeight w:val="270"/>
        </w:trPr>
        <w:tc>
          <w:tcPr>
            <w:tcW w:w="6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spacing w:after="0"/>
              <w:rPr>
                <w:sz w:val="23"/>
                <w:szCs w:val="23"/>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step-up recorded to cost of sales</w:t>
            </w:r>
          </w:p>
        </w:tc>
        <w:tc>
          <w:tcPr>
            <w:tcW w:w="160" w:type="dxa"/>
            <w:vAlign w:val="bottom"/>
          </w:tcPr>
          <w:p>
            <w:pPr>
              <w:spacing w:after="0"/>
              <w:rPr>
                <w:sz w:val="17"/>
                <w:szCs w:val="17"/>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N/A</w:t>
            </w:r>
          </w:p>
        </w:tc>
      </w:tr>
      <w:tr>
        <w:trPr>
          <w:trHeight w:val="203"/>
        </w:trPr>
        <w:tc>
          <w:tcPr>
            <w:tcW w:w="6540" w:type="dxa"/>
            <w:vAlign w:val="bottom"/>
            <w:tcBorders>
              <w:top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Adjusted Gross Profit</w:t>
            </w:r>
            <w:r>
              <w:rPr>
                <w:rFonts w:ascii="Times New Roman" w:cs="Times New Roman" w:eastAsia="Times New Roman" w:hAnsi="Times New Roman"/>
                <w:sz w:val="18"/>
                <w:szCs w:val="18"/>
                <w:color w:val="auto"/>
                <w:vertAlign w:val="superscript"/>
              </w:rPr>
              <w:t>(ii)</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19,153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14,251</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4,902</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5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Adjusted Gross Margin</w:t>
            </w:r>
            <w:r>
              <w:rPr>
                <w:rFonts w:ascii="Times New Roman" w:cs="Times New Roman" w:eastAsia="Times New Roman" w:hAnsi="Times New Roman"/>
                <w:sz w:val="18"/>
                <w:szCs w:val="18"/>
                <w:color w:val="auto"/>
                <w:vertAlign w:val="superscript"/>
              </w:rPr>
              <w:t>(iii)</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(2)pp</w:t>
            </w:r>
          </w:p>
        </w:tc>
      </w:tr>
      <w:tr>
        <w:trPr>
          <w:trHeight w:val="270"/>
        </w:trPr>
        <w:tc>
          <w:tcPr>
            <w:tcW w:w="6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15,711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7,723</w:t>
            </w:r>
          </w:p>
        </w:tc>
        <w:tc>
          <w:tcPr>
            <w:tcW w:w="8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7,988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6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65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(ii)</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2,289</w:t>
            </w:r>
          </w:p>
        </w:tc>
        <w:tc>
          <w:tcPr>
            <w:tcW w:w="8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r>
              <w:rPr>
                <w:rFonts w:ascii="Times New Roman" w:cs="Times New Roman" w:eastAsia="Times New Roman" w:hAnsi="Times New Roman"/>
                <w:sz w:val="18"/>
                <w:szCs w:val="18"/>
                <w:color w:val="auto"/>
                <w:vertAlign w:val="superscript"/>
              </w:rPr>
              <w:t>(iv)</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821,856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797,819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5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Short-term investments</w:t>
            </w:r>
            <w:r>
              <w:rPr>
                <w:rFonts w:ascii="Times New Roman" w:cs="Times New Roman" w:eastAsia="Times New Roman" w:hAnsi="Times New Roman"/>
                <w:sz w:val="18"/>
                <w:szCs w:val="18"/>
                <w:color w:val="auto"/>
                <w:vertAlign w:val="superscript"/>
              </w:rPr>
              <w:t>(iv)</w:t>
            </w:r>
          </w:p>
        </w:tc>
        <w:tc>
          <w:tcPr>
            <w:tcW w:w="16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Capital expenditures</w:t>
            </w:r>
            <w:r>
              <w:rPr>
                <w:rFonts w:ascii="Times New Roman" w:cs="Times New Roman" w:eastAsia="Times New Roman" w:hAnsi="Times New Roman"/>
                <w:sz w:val="18"/>
                <w:szCs w:val="18"/>
                <w:color w:val="auto"/>
                <w:vertAlign w:val="superscript"/>
              </w:rPr>
              <w:t>(v)</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r>
    </w:tbl>
    <w:p>
      <w:pPr>
        <w:spacing w:after="0" w:line="13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Gross margin is defined as gross profit divided by net revenue.</w:t>
      </w:r>
    </w:p>
    <w:p>
      <w:pPr>
        <w:spacing w:after="0" w:line="49" w:lineRule="exact"/>
        <w:rPr>
          <w:rFonts w:ascii="Arial" w:cs="Arial" w:eastAsia="Arial" w:hAnsi="Arial"/>
          <w:sz w:val="11"/>
          <w:szCs w:val="11"/>
          <w:i w:val="1"/>
          <w:iCs w:val="1"/>
          <w:color w:val="auto"/>
        </w:rPr>
      </w:pPr>
    </w:p>
    <w:p>
      <w:pPr>
        <w:ind w:left="660" w:right="140" w:hanging="328"/>
        <w:spacing w:after="0" w:line="259" w:lineRule="auto"/>
        <w:tabs>
          <w:tab w:leader="none" w:pos="658"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 xml:space="preserve">See </w:t>
      </w:r>
      <w:r>
        <w:rPr>
          <w:rFonts w:ascii="Arial" w:cs="Arial" w:eastAsia="Arial" w:hAnsi="Arial"/>
          <w:sz w:val="11"/>
          <w:szCs w:val="11"/>
          <w:color w:val="auto"/>
        </w:rPr>
        <w:t>“</w:t>
      </w:r>
      <w:r>
        <w:rPr>
          <w:rFonts w:ascii="Arial" w:cs="Arial" w:eastAsia="Arial" w:hAnsi="Arial"/>
          <w:sz w:val="11"/>
          <w:szCs w:val="11"/>
          <w:i w:val="1"/>
          <w:iCs w:val="1"/>
          <w:color w:val="auto"/>
        </w:rPr>
        <w:t>Non-GAAP Measures</w:t>
      </w:r>
      <w:r>
        <w:rPr>
          <w:rFonts w:ascii="Arial" w:cs="Arial" w:eastAsia="Arial" w:hAnsi="Arial"/>
          <w:sz w:val="11"/>
          <w:szCs w:val="11"/>
          <w:color w:val="auto"/>
        </w:rPr>
        <w:t>”</w:t>
      </w:r>
      <w:r>
        <w:rPr>
          <w:rFonts w:ascii="Arial" w:cs="Arial" w:eastAsia="Arial" w:hAnsi="Arial"/>
          <w:sz w:val="11"/>
          <w:szCs w:val="11"/>
          <w:i w:val="1"/>
          <w:iCs w:val="1"/>
          <w:color w:val="auto"/>
        </w:rPr>
        <w:t xml:space="preserve"> for more information, including a reconciliation of adjusted earnings (loss) before interest, taxes, depreciation and amortization (</w:t>
      </w:r>
      <w:r>
        <w:rPr>
          <w:rFonts w:ascii="Arial" w:cs="Arial" w:eastAsia="Arial" w:hAnsi="Arial"/>
          <w:sz w:val="11"/>
          <w:szCs w:val="11"/>
          <w:color w:val="auto"/>
        </w:rPr>
        <w:t>“</w:t>
      </w:r>
      <w:r>
        <w:rPr>
          <w:rFonts w:ascii="Arial" w:cs="Arial" w:eastAsia="Arial" w:hAnsi="Arial"/>
          <w:sz w:val="11"/>
          <w:szCs w:val="11"/>
          <w:i w:val="1"/>
          <w:iCs w:val="1"/>
          <w:color w:val="auto"/>
        </w:rPr>
        <w:t>Adjusted EBITDA</w:t>
      </w:r>
      <w:r>
        <w:rPr>
          <w:rFonts w:ascii="Arial" w:cs="Arial" w:eastAsia="Arial" w:hAnsi="Arial"/>
          <w:sz w:val="11"/>
          <w:szCs w:val="11"/>
          <w:color w:val="auto"/>
        </w:rPr>
        <w:t>”</w:t>
      </w:r>
      <w:r>
        <w:rPr>
          <w:rFonts w:ascii="Arial" w:cs="Arial" w:eastAsia="Arial" w:hAnsi="Arial"/>
          <w:sz w:val="11"/>
          <w:szCs w:val="11"/>
          <w:i w:val="1"/>
          <w:iCs w:val="1"/>
          <w:color w:val="auto"/>
        </w:rPr>
        <w:t>) to net income (loss) and a reconciliation of Adjusted Gross Profit to gross profit.</w:t>
      </w:r>
    </w:p>
    <w:p>
      <w:pPr>
        <w:spacing w:after="0" w:line="37" w:lineRule="exact"/>
        <w:rPr>
          <w:rFonts w:ascii="Arial" w:cs="Arial" w:eastAsia="Arial" w:hAnsi="Arial"/>
          <w:sz w:val="11"/>
          <w:szCs w:val="11"/>
          <w:color w:val="auto"/>
        </w:rPr>
      </w:pPr>
    </w:p>
    <w:p>
      <w:pPr>
        <w:ind w:left="660" w:hanging="328"/>
        <w:spacing w:after="0"/>
        <w:tabs>
          <w:tab w:leader="none" w:pos="66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Adjusted Gross Margin is defined as Adjusted Gross Profit divided by net revenue. See Non-GAAP Measures for more information.</w:t>
      </w:r>
    </w:p>
    <w:p>
      <w:pPr>
        <w:spacing w:after="0" w:line="49" w:lineRule="exact"/>
        <w:rPr>
          <w:rFonts w:ascii="Arial" w:cs="Arial" w:eastAsia="Arial" w:hAnsi="Arial"/>
          <w:sz w:val="11"/>
          <w:szCs w:val="11"/>
          <w:i w:val="1"/>
          <w:iCs w:val="1"/>
          <w:color w:val="auto"/>
        </w:rPr>
      </w:pPr>
    </w:p>
    <w:p>
      <w:pPr>
        <w:ind w:left="640" w:hanging="308"/>
        <w:spacing w:after="0"/>
        <w:tabs>
          <w:tab w:leader="none" w:pos="64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Dollar amounts are as of the last day of the period indicated.</w:t>
      </w:r>
    </w:p>
    <w:p>
      <w:pPr>
        <w:spacing w:after="0" w:line="62" w:lineRule="exact"/>
        <w:rPr>
          <w:rFonts w:ascii="Arial" w:cs="Arial" w:eastAsia="Arial" w:hAnsi="Arial"/>
          <w:sz w:val="11"/>
          <w:szCs w:val="11"/>
          <w:i w:val="1"/>
          <w:iCs w:val="1"/>
          <w:color w:val="auto"/>
        </w:rPr>
      </w:pPr>
    </w:p>
    <w:p>
      <w:pPr>
        <w:ind w:left="640" w:hanging="308"/>
        <w:spacing w:after="0"/>
        <w:tabs>
          <w:tab w:leader="none" w:pos="64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Capital expenditures represent component information of investing activities and is defined as the sum of purchase of property, plant and equipment, and purchase of intangible assets.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w:t>
      </w:r>
    </w:p>
    <w:p>
      <w:pPr>
        <w:spacing w:after="0" w:line="126" w:lineRule="exact"/>
        <w:rPr>
          <w:sz w:val="20"/>
          <w:szCs w:val="20"/>
          <w:color w:val="auto"/>
        </w:rPr>
      </w:pPr>
    </w:p>
    <w:p>
      <w:pPr>
        <w:jc w:val="both"/>
        <w:ind w:left="340" w:hanging="332"/>
        <w:spacing w:after="0" w:line="268" w:lineRule="auto"/>
        <w:tabs>
          <w:tab w:leader="none" w:pos="335" w:val="left"/>
        </w:tabs>
        <w:numPr>
          <w:ilvl w:val="0"/>
          <w:numId w:val="11"/>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color w:val="auto"/>
        </w:rPr>
        <w:t>Net revenue of $45.2 million in Q1 2026 increased by $12.9 million from Q1 2025. The increase was primarily due to higher cannabis flower sales in Israel and other countries, which carry no excise taxes, and higher cannabis extract and flower sales in the Canadian market.</w:t>
      </w:r>
    </w:p>
    <w:p>
      <w:pPr>
        <w:spacing w:after="0" w:line="48"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42"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of $19.2 million in Q1 2026 increased by $5.4 million from Q1 2025. The increase was primarily due to higher average sales prices, largely driven by a mix shift to Israel and other countries, which carry no excise taxes, and higher sales volumes. For the three months ended March 31, 2025, gross profit was reduced by $0.5 million as a result of the impact of the inventory step-up from the transaction (the “Cronos GrowCo Transaction”) by which we obtained majority control of the board of directors of Cronos Growing Company Inc. (“Cronos GrowCo”) that was recorded into cost of sales. No such costs were recognized for the three months ended March 31, 2026.</w:t>
      </w:r>
    </w:p>
    <w:p>
      <w:pPr>
        <w:spacing w:after="0" w:line="70"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Gross Profit of $19.2 million in Q1 2026 increased by $4.9 million from Q1 2025. The increase was primarily due to higher average sales prices, largely driven by a mix shift to Israel and other countries, which carry no excise taxes, and higher sales volumes.</w:t>
      </w:r>
    </w:p>
    <w:p>
      <w:pPr>
        <w:spacing w:after="0" w:line="44"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of $15.7 million in Q1 2026 increased by $8.0 million from Q1 2025. The increase was primarily due to higher gross profit and other income, partially offset by higher operating expenses.</w:t>
      </w:r>
    </w:p>
    <w:p>
      <w:pPr>
        <w:sectPr>
          <w:pgSz w:w="11900" w:h="16838" w:orient="portrait"/>
          <w:cols w:equalWidth="0" w:num="1">
            <w:col w:w="11240"/>
          </w:cols>
          <w:pgMar w:left="320" w:top="1236" w:right="339" w:bottom="1440" w:gutter="0" w:footer="0" w:header="0"/>
        </w:sectPr>
      </w:pPr>
    </w:p>
    <w:bookmarkStart w:id="11" w:name="page12"/>
    <w:bookmarkEnd w:id="11"/>
    <w:p>
      <w:pPr>
        <w:jc w:val="both"/>
        <w:ind w:left="340" w:hanging="332"/>
        <w:spacing w:after="0" w:line="268" w:lineRule="auto"/>
        <w:tabs>
          <w:tab w:leader="none" w:pos="33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Adjusted EBITDA of $5.1 million in Q1 2026 improved by $2.8 million from Q1 2025. The improvement was primarily driven by higher gross profit, partially offset by higher operating expenses due to higher sales and marketing, general and administrative, and research and development (“R&amp;D”) costs.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Updates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Renewed Share Repurchase Authorization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2026, the Board unanimously authorized a share repurchase program of up to $50 million, which is intended to succeed the Company’s existing share repurchase program upon its scheduled expiration on May 13, 2026. The share repurchase program is expected to commence on May 14, 2026 and terminate on May 13, 2027, unless earlier terminated. Repurchases under the program may be made from time to time, either through open market purchases at then-prevailing market prices through the facilities of the Nasdaq Global Market or other U.S. published markets, privately negotiated transactions or otherwise. Open market repurchases will be limited to 5% of the number of common shares outstanding as of the applicable measurement time, the maximum amount permitted by applicable securities laws. The timing and amount of repurchases are subject to market conditions, compliance with applicable laws and regulations and any other factors management of the Company may deem relevant. The program does not obligate Cronos to acquire any specific dollar amount or number of shares and may be modified, suspended, or discontinued at any time.</w:t>
      </w:r>
    </w:p>
    <w:p>
      <w:pPr>
        <w:spacing w:after="0" w:line="7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From May 14, 2025 through May 6, 2026, Cronos repurchased a total of 13,394,475 shares at a cost of approximately $33.5 million, inclusive of commissions and excise taxes.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Product Portfolio</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Spinach</w:t>
      </w:r>
      <w:r>
        <w:rPr>
          <w:rFonts w:ascii="Arial" w:cs="Arial" w:eastAsia="Arial" w:hAnsi="Arial"/>
          <w:sz w:val="23"/>
          <w:szCs w:val="23"/>
          <w:color w:val="auto"/>
          <w:vertAlign w:val="superscript"/>
        </w:rPr>
        <w:t>®</w:t>
      </w:r>
      <w:r>
        <w:rPr>
          <w:rFonts w:ascii="Arial" w:cs="Arial" w:eastAsia="Arial" w:hAnsi="Arial"/>
          <w:sz w:val="23"/>
          <w:szCs w:val="23"/>
          <w:b w:val="1"/>
          <w:bCs w:val="1"/>
          <w:color w:val="auto"/>
          <w:vertAlign w:val="superscript"/>
        </w:rPr>
        <w:t>3</w:t>
      </w:r>
    </w:p>
    <w:p>
      <w:pPr>
        <w:spacing w:after="0" w:line="19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delivered outstanding results in Q1 2026, reinforcing its standing among Canada’s favorite cannabis brands. The brand held 5.5% total market share nationally, maintaining its position as the #2 brand in Canada. In flower,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rose to #3 with 5.0% market share, reflecting increased product availability following the Cronos GrowCo expansion and continued consumer demand for the brand’s core offerings.</w:t>
      </w:r>
    </w:p>
    <w:p>
      <w:pPr>
        <w:spacing w:after="0" w:line="219"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 most significant achievement in Q1 2026 was reaching #1 in the vape category for the first time in the brand’s history, capturing 9.8% total vape market share across all formats in Canada, a milestone that underscores the brand’s growing strength in one of Canada’s fastest-growing cannabis categories. In vape cartridges specifically,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reached 11.1% market share in the quarter, also ranking #1, and the three best-selling vape SKUs nationwide across all formats were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vape cartridges. Canadian distribution of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PUFFERZ</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all-in-one vapes broadened in the quarter, with PUFFERZ</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reaching the #2 market share position in all-in-one vapes in March 2026, just four months after launch.</w:t>
      </w:r>
    </w:p>
    <w:p>
      <w:pPr>
        <w:spacing w:after="0" w:line="22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edibles, Spinach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retained its outstanding #1 position with a 20.8% share of the Canadian market, powered by the continued success of SOURZ by Spinach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gummies, which held 22.7% of the gummies segment. In Q1 2026, four SOURZ by Spinach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gummies products ranked among the top 10 edibles nationally, including the top-selling edibles SKU in Canada, the Fully Blasted Blue Raspberry Watermelon 10 Pack.</w:t>
      </w:r>
    </w:p>
    <w:p>
      <w:pPr>
        <w:spacing w:after="0" w:line="2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Q1 2026, Cronos launched a series of new pre-roll products for the Canadian market, including limited edition Sour Chem and Space Cake 10 x 0.4g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STIX and Sour Chem and GMO Cookies 2 x 1g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pre-rolls, offering consumers distinctive and accessible ways to experience the brand’s most popular genetics.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PEACE NATURALS</w:t>
      </w:r>
      <w:r>
        <w:rPr>
          <w:rFonts w:ascii="Arial" w:cs="Arial" w:eastAsia="Arial" w:hAnsi="Arial"/>
          <w:sz w:val="23"/>
          <w:szCs w:val="23"/>
          <w:b w:val="1"/>
          <w:bCs w:val="1"/>
          <w:color w:val="auto"/>
          <w:vertAlign w:val="superscript"/>
        </w:rPr>
        <w:t>®4</w:t>
      </w:r>
    </w:p>
    <w:p>
      <w:pPr>
        <w:spacing w:after="0" w:line="19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Cronos Israel delivered another record quarter in Q1 2026, with the PEACE NATURALS</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brand expanding its lead in the Israeli medical cannabis market, resulting in net revenue growth of 53% year-over-year. The sustained leadership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8"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Hifyre Retail Analytics - National Retail Dollar by Brand in Canada - Q1 2026.</w:t>
      </w:r>
    </w:p>
    <w:p>
      <w:pPr>
        <w:ind w:left="140" w:hanging="132"/>
        <w:spacing w:after="0" w:line="220" w:lineRule="auto"/>
        <w:tabs>
          <w:tab w:leader="none" w:pos="14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Market share and ranking information from pharmacy data collected by Cronos - Q1 2026.</w:t>
      </w:r>
    </w:p>
    <w:p>
      <w:pPr>
        <w:sectPr>
          <w:pgSz w:w="11900" w:h="16838" w:orient="portrait"/>
          <w:cols w:equalWidth="0" w:num="1">
            <w:col w:w="11240"/>
          </w:cols>
          <w:pgMar w:left="320" w:top="998" w:right="339" w:bottom="1440" w:gutter="0" w:footer="0" w:header="0"/>
        </w:sectPr>
      </w:pPr>
    </w:p>
    <w:bookmarkStart w:id="12" w:name="page13"/>
    <w:bookmarkEnd w:id="12"/>
    <w:p>
      <w:pPr>
        <w:jc w:val="both"/>
        <w:spacing w:after="0" w:line="231" w:lineRule="auto"/>
        <w:rPr>
          <w:sz w:val="20"/>
          <w:szCs w:val="20"/>
          <w:color w:val="auto"/>
        </w:rPr>
      </w:pPr>
      <w:r>
        <w:rPr>
          <w:rFonts w:ascii="Arial" w:cs="Arial" w:eastAsia="Arial" w:hAnsi="Arial"/>
          <w:sz w:val="18"/>
          <w:szCs w:val="18"/>
          <w:color w:val="auto"/>
        </w:rPr>
        <w:t>PEACE NATURALS</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products reflects the strength of Cronos’ advanced genetic breeding program, and industry-leading cultivation capabilities.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Cronos continued to build on its international presence in Q1 2026, with net revenue in international markets outside Israel growing 97% year-over-year, reaching record levels in the quarter. The Company’s global platform continues to be a key differentiator, enabling Cronos to leverage its genetics, cultivation expertise, and brand equity across multiple regulatory environments and patient populations.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w:t>
      </w:r>
      <w:r>
        <w:rPr>
          <w:rFonts w:ascii="Arial" w:cs="Arial" w:eastAsia="Arial" w:hAnsi="Arial"/>
          <w:sz w:val="18"/>
          <w:szCs w:val="18"/>
          <w:color w:val="auto"/>
        </w:rPr>
        <w: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Q1 2026, Cronos further expanded sales of its value-focused medical brand LIT™ across Israel and Europe, reflecting the Company’s strategy of building a tiered product portfolio, from premium to accessible price points, that serves the spectrum of medical cannabis patients.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Lord Jones</w:t>
      </w:r>
      <w:r>
        <w:rPr>
          <w:rFonts w:ascii="Arial" w:cs="Arial" w:eastAsia="Arial" w:hAnsi="Arial"/>
          <w:sz w:val="23"/>
          <w:szCs w:val="23"/>
          <w:b w:val="1"/>
          <w:bCs w:val="1"/>
          <w:color w:val="auto"/>
          <w:vertAlign w:val="superscript"/>
        </w:rPr>
        <w:t>®5</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continued to serve the premium cannabis consumer in Q1 2026, with a focused presence across several key categories. The brand held a 9.1% market share in chocolate cannabis edibles, ranking #3 in Canada.</w:t>
      </w:r>
    </w:p>
    <w:p>
      <w:pPr>
        <w:spacing w:after="0" w:line="2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also made its entry into the Israeli medical cannabis market in Q1 2026, where its five premium flower strains were met with strong demand from patients. The brand’s expansion into Israel underscores Cronos’ commitment to thoughtful international growth driven by disciplined execution and differentiated brand experiences.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CanAdelaar Acquisition</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December 9, 2025, the Company entered into a definitive share sale and purchase agreement (the “SPA”) to acquire all of the issued and outstanding shares of CanAdelaar B.V. (“CanAdelaar”), one of ten licensed cannabis producers participating in the Dutch Controlled Cannabis Supply Chain Experiment.</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8, 2026, the Company entered into an amendment to the SPA pursuant to which the parties agreed to extend the Long Stop Date (as defined in the SPA) for closing of the acquisition from June 9, 2026 to September 9, 2026. The extension provides additional time to satisfy certain closing conditions, including obtaining required regulatory clearances in the Netherlands, receipt of confirmations relating to CanAdelaar’s licenses and completion of the Bibob review (a background check conducted by Dutch authorities). No other material changes were made to the terms of the transaction.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acquisition to close in the summer of 2026.</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will host a conference call and live audio webcast on Monday, May 11, 2026, at 8:30 a.m. ET to discuss 2026 first quarter business results. An audio replay of the call will be archived on the Company’s website for replay. Instructions for the live audio webcast are provided on the Company’s website at </w:t>
      </w:r>
      <w:r>
        <w:rPr>
          <w:rFonts w:ascii="Arial" w:cs="Arial" w:eastAsia="Arial" w:hAnsi="Arial"/>
          <w:sz w:val="18"/>
          <w:szCs w:val="18"/>
          <w:i w:val="1"/>
          <w:iCs w:val="1"/>
          <w:color w:val="auto"/>
        </w:rPr>
        <w:t>https://ir.thecronosgroup.com/events-presentations.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3"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Hifyre Retail Analytics - National Retail Dollar by Brand in Canada - Q1 2026.</w:t>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About Cronos</w:t>
      </w:r>
    </w:p>
    <w:p>
      <w:pPr>
        <w:spacing w:after="0" w:line="200" w:lineRule="exact"/>
        <w:rPr>
          <w:sz w:val="20"/>
          <w:szCs w:val="20"/>
          <w:color w:val="auto"/>
        </w:rPr>
      </w:pPr>
    </w:p>
    <w:p>
      <w:pPr>
        <w:spacing w:after="0" w:line="2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Cronos is a global cannabis company focused on scaling leading consumer goods products through research and development and innovation. With a passion to responsibly elevate the consumer experience, Cronos is building an iconic brand portfolio. Cronos’ diverse international brand portfolio includes Spinach</w:t>
      </w:r>
      <w:r>
        <w:rPr>
          <w:rFonts w:ascii="Arial" w:cs="Arial" w:eastAsia="Arial" w:hAnsi="Arial"/>
          <w:sz w:val="23"/>
          <w:szCs w:val="23"/>
          <w:color w:val="auto"/>
          <w:vertAlign w:val="superscript"/>
        </w:rPr>
        <w:t>®</w:t>
      </w:r>
      <w:r>
        <w:rPr>
          <w:rFonts w:ascii="Arial" w:cs="Arial" w:eastAsia="Arial" w:hAnsi="Arial"/>
          <w:sz w:val="18"/>
          <w:szCs w:val="18"/>
          <w:color w:val="auto"/>
        </w:rPr>
        <w:t>, PEACE NATURALS</w:t>
      </w:r>
      <w:r>
        <w:rPr>
          <w:rFonts w:ascii="Arial" w:cs="Arial" w:eastAsia="Arial" w:hAnsi="Arial"/>
          <w:sz w:val="23"/>
          <w:szCs w:val="23"/>
          <w:color w:val="auto"/>
          <w:vertAlign w:val="superscript"/>
        </w:rPr>
        <w:t>®</w:t>
      </w:r>
      <w:r>
        <w:rPr>
          <w:rFonts w:ascii="Arial" w:cs="Arial" w:eastAsia="Arial" w:hAnsi="Arial"/>
          <w:sz w:val="18"/>
          <w:szCs w:val="18"/>
          <w:color w:val="auto"/>
        </w:rPr>
        <w:t>, LIT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Lord Jones</w:t>
      </w:r>
      <w:r>
        <w:rPr>
          <w:rFonts w:ascii="Arial" w:cs="Arial" w:eastAsia="Arial" w:hAnsi="Arial"/>
          <w:sz w:val="23"/>
          <w:szCs w:val="23"/>
          <w:color w:val="auto"/>
          <w:vertAlign w:val="superscript"/>
        </w:rPr>
        <w:t>®</w:t>
      </w:r>
      <w:r>
        <w:rPr>
          <w:rFonts w:ascii="Arial" w:cs="Arial" w:eastAsia="Arial" w:hAnsi="Arial"/>
          <w:sz w:val="18"/>
          <w:szCs w:val="18"/>
          <w:color w:val="auto"/>
        </w:rPr>
        <w:t>. For more information about Cronos and its brands, please visit: thecronosgroup.com.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contains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Information that is not clearly historical in nature may constitute Forward-Looking Statements. In some cases, Forward-Looking Statements can be identified by the use of forward-looking terminology, such as “expect,” “likely,” “may,” “will,” “should,” “intend,” “anticipate,” “potential,” “proposed,” “estimate,” “believe,” “plan”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with respect to:</w:t>
      </w:r>
    </w:p>
    <w:p>
      <w:pPr>
        <w:spacing w:after="0" w:line="117" w:lineRule="exact"/>
        <w:rPr>
          <w:sz w:val="20"/>
          <w:szCs w:val="20"/>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ongoing impact of the public investigation into Canadian licensed producers of alleged dumping of medical cannabis imports from Canada into Israel by the Trade Levies Commissioner of the Israel Ministry of Economy and Industry (the “Anti-Dumping Investigation”) and the proposed anti-dumping duty to which the Company’s imports would be subject;</w:t>
      </w:r>
    </w:p>
    <w:p>
      <w:pPr>
        <w:spacing w:after="0" w:line="6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related to the conflict involving the United States, Israel, Hamas, Hezbollah, Houthis, Iran, Iran’s proxies and other stakeholders in the region (the “Middle East Conflict”) and its impact on our operations in Israel, the supply of product in the market and the demand for product by medical patients in Israel, as well as any regional or global escalations and their impact to global commerce and stability;</w:t>
      </w:r>
    </w:p>
    <w:p>
      <w:pPr>
        <w:spacing w:after="0" w:line="65"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related to markets outside of Canada and Israel, and our ability to successfully distribute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those markets;</w:t>
      </w:r>
    </w:p>
    <w:p>
      <w:pPr>
        <w:spacing w:after="0" w:line="8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related to the impact of our decision to exit our U.S. hemp-derived cannabinoid product operations and any future plans to re-enter the U.S. market;</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ongoing impact of our announced realignment (inclusive of any revisions thereto, the “Realignment”) and any progress, challenges and effects related thereto as well as changes in strategy, metrics, investments, reporting structure, costs, operating expenses, employee turnover and other changes with respect thereto;</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as to the use and expansion of our facility in Stayner, Ontario (the “Peace Naturals Campus”);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acquire raw materials from suppliers, including Cronos GrowCo, and the costs and timing associated therewith;</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regarding the potential success of, and the costs and benefits associated with, our joint ventures, strategic alliances and equity investments;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related to the expansion of Cronos GrowCo’s purpose-built cultivation and processing facilities and any additional supply or growth opportunities (including in the wholesale market) provided thereby;</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related to the transaction by which we, as lender, obtained junior secured convertible debt (the “High Tide Loan”) from High Tide Inc. (“High Tide”), as borrower, and a warrant (the “High Tide Warrant”) to purchase common shares of High Tide, the performance of the High Tide Loan and the High Tide Warrant, and High Tide’s ability to repay the High Tide Loan;</w:t>
      </w:r>
    </w:p>
    <w:p>
      <w:pPr>
        <w:sectPr>
          <w:pgSz w:w="11900" w:h="16838" w:orient="portrait"/>
          <w:cols w:equalWidth="0" w:num="1">
            <w:col w:w="11240"/>
          </w:cols>
          <w:pgMar w:left="320" w:top="1236" w:right="339" w:bottom="1440" w:gutter="0" w:footer="0" w:header="0"/>
        </w:sectPr>
      </w:pPr>
    </w:p>
    <w:bookmarkStart w:id="14" w:name="page15"/>
    <w:bookmarkEnd w:id="14"/>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related to our agreement to acquire CanAdelaar, including the timing and completion of the transaction, and the anticipated costs, benefits and integration matters associated therewith and the performance of the business from and following closing;</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related to the impact of the renewed share repurchase program that was authorized on May 8, 2026, including the timing and amount of repurchases;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or plans to identify, develop, commercialize or expand our technology and R&amp;D initiatives in cannabinoids, or the success thereof;</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revenues, expenses, gross margins and capital expenditures;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our future production and manufacturing strategy and operations, the costs and timing associated therewith and the receipt of applicable production and sale licenses;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legalization of the use of cannabis for medical or adult-use in jurisdictions outside of Canada, the related timing and impact thereof and our intentions to participate in such markets, if, when and to the extent such use is legalized;</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grant, renewal, withdrawal, suspension, delay and impact of any license or supplemental license to conduct activities with cannabis or any amendments thereof;</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create, launch and scale brands and cannabis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related to the differentiation of our products, including through the utilization of rare cannabinoids;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benefits, viability, safety, efficacy, dosing and social acceptance of cannabis, including CBD and other cannabinoids;</w:t>
      </w:r>
    </w:p>
    <w:p>
      <w:pPr>
        <w:spacing w:after="0" w:line="103" w:lineRule="exact"/>
        <w:rPr>
          <w:rFonts w:ascii="Arial" w:cs="Arial" w:eastAsia="Arial" w:hAnsi="Arial"/>
          <w:sz w:val="18"/>
          <w:szCs w:val="18"/>
          <w:color w:val="auto"/>
        </w:rPr>
      </w:pPr>
    </w:p>
    <w:p>
      <w:pPr>
        <w:ind w:left="660" w:right="40" w:hanging="328"/>
        <w:spacing w:after="0"/>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regulations and any amendments thereto applicable to our business and the impact thereof, including uncertainty regarding the application of U.S. state and federal law to cannabis and U.S. hemp (including CBD and other U.S. hemp-derived cannabinoids) products and the scope of any regulations by the U.S. Department of Health and Human Services, U.S. Food and Drug Administration, the U.S. Drug Enforcement Administration, the U.S. Federal Trade Commission, the U.S. Patent and Trademark Office and any state equivalent regulatory agencies over cannabis and U.S. hemp (including CBD and other U.S. hemp-derived cannabinoids) products, including the final order issued by the U.S. Department of Justice (the “DOJ”) moving certain categories of marijuana products from Schedule I to Schedule III under the U.S. Controlled Substances Act and any future actions that may be taken or considered by the DOJ or other government agencies;</w:t>
      </w:r>
    </w:p>
    <w:p>
      <w:pPr>
        <w:spacing w:after="0" w:line="8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anticipated benefits and impact of Altria Group, Inc.’s investment in the Company (the “Altria Investment”), pursuant to a subscription agreement dated December 7, 2018;</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the implementation and effectiveness of key personnel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business combinations and dispositions and the anticipated benefits therefrom;</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of the amount or frequency of impairment losses, including as a result of the write-down of intangible assets, including goodwill;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ongoing military conflict between Russia and Ukraine (and resulting sanctions) on our business, financial condition and results of operations or cash flows;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compliance with the terms of the settlement (the “Settlement Order”) with the SEC and the settlement agreement with the Ontario Securities Commission (the “OSC”); and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loss of our ability to rely on private offering exemptions under Regulation A and Regulation D of the Securities Act of 1933, as amended, as a result of the Settlement Order.</w:t>
      </w:r>
    </w:p>
    <w:p>
      <w:pPr>
        <w:spacing w:after="0" w:line="3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ectPr>
          <w:pgSz w:w="11900" w:h="16838" w:orient="portrait"/>
          <w:cols w:equalWidth="0" w:num="1">
            <w:col w:w="11240"/>
          </w:cols>
          <w:pgMar w:left="320" w:top="998" w:right="339" w:bottom="1440" w:gutter="0" w:footer="0" w:header="0"/>
        </w:sectPr>
      </w:pPr>
    </w:p>
    <w:bookmarkStart w:id="15" w:name="page16"/>
    <w:bookmarkEnd w:id="15"/>
    <w:p>
      <w:pPr>
        <w:jc w:val="both"/>
        <w:spacing w:after="0" w:line="247" w:lineRule="auto"/>
        <w:rPr>
          <w:sz w:val="20"/>
          <w:szCs w:val="20"/>
          <w:color w:val="auto"/>
        </w:rPr>
      </w:pPr>
      <w:r>
        <w:rPr>
          <w:rFonts w:ascii="Arial" w:cs="Arial" w:eastAsia="Arial" w:hAnsi="Arial"/>
          <w:sz w:val="18"/>
          <w:szCs w:val="18"/>
          <w:color w:val="auto"/>
        </w:rPr>
        <w:t>The Forward-Looking Statements contained herein are based upon certain material assumptions that were applied in drawing a conclusion or making a forecast or projection, including: (i) our ability to effectively navigate developments related to the Anti-Dumping Investigation and the proposed anti-dumping duty to which the Company’s imports would be subject and its impact on our operations in Israel; (ii) our ability to effectively navigate developments related to the Middle East Conflict and its impact on our employees and operations in Israel, the supply of product in the market and demand for product by medical patients in Israel; (iii) our ability to efficiently and effectively distribute our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markets outside of Canada and Israel; (iv) expectations related to the impact of our decision to exit our U.S. hemp-derived cannabinoid product operations; (v) our ability to realize the expected cost-savings, efficiencies and other benefits of our Realignment and other announced cost-cutting measures and employee turnover related thereto; (vi) our ability to efficiently and effectively manage our operations at our Peace Naturals Campus; (vii) our ability to efficiently and effectively acquire raw materials on a timely and cost-effective basis from third parties or Cronos GrowCo; (viii) our ability to realize the expected benefits related to the expansion of Cronos GrowCo’s purpose-built cannabis facility (including the quantity and quality of any additional supply provided thereby and the stability of pricing and demand with respect to such supply) and the ability of Cronos GrowCo to repay the credit facility provided by Cronos; (ix) High Tide’s ability to repay the High Tide Loan, the performance of the High Tide Loan and the High Tide Warrant, and our ability to realize benefits related to the performance of the High Tide Warrant; (x) our ability to complete the acquisition of CanAdelaar on the terms and within the timelines anticipated, including the timely receipt of required regulatory approvals and the satisfaction of other closing conditions, and our ability to realize any expected benefits, synergies and operational performance associated with such acquisition; (xi) our ability to realize anticipated benefits, synergies or generate revenue, profits or value from our business combinations and strategic investments; (xii) the production and manufacturing capabilities and output from our facilities and our joint ventures, strategic alliances and equity investments;</w:t>
      </w:r>
    </w:p>
    <w:p>
      <w:pPr>
        <w:spacing w:after="0" w:line="12" w:lineRule="exact"/>
        <w:rPr>
          <w:sz w:val="20"/>
          <w:szCs w:val="20"/>
          <w:color w:val="auto"/>
        </w:rPr>
      </w:pPr>
    </w:p>
    <w:p>
      <w:pPr>
        <w:jc w:val="both"/>
        <w:ind w:firstLine="8"/>
        <w:spacing w:after="0" w:line="252" w:lineRule="auto"/>
        <w:tabs>
          <w:tab w:leader="none" w:pos="4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regulation of our activities and products including, but not limited to, the areas of cannabis taxation and environmental protection; (xiv) the timely receipt of any required regulatory authorizations, approvals, consents, permits and/or licenses; (xv) consumer interest in and the scalability of our products; (xvi) our ability to differentiate our products, including through the utilization of rare cannabinoids; (xvii) competition; (xviii) anticipated and unanticipated costs; (xix) our ability to generate cash flow from operations; (xx) our ability to conduct operations in a safe, efficient and effective manner; (xxi) our ability to hire and retain qualified staff and acquire equipment and services in a timely and cost-efficient manner; (xxii) our ability to complete planned dispositions and, if completed, obtain our anticipated sales price; (xxiii) general economic, financial market, regulatory and political conditions in which we operate; (xxiv) management’s perceptions of historical trends, current conditions and expected future developments; and (xxv)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00" w:lineRule="exact"/>
        <w:rPr>
          <w:sz w:val="20"/>
          <w:szCs w:val="20"/>
          <w:color w:val="auto"/>
        </w:rPr>
      </w:pP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press release and other reports we file with, or furnish to, the SEC and other regulatory agencies and made by our directors, officers, other employees and other persons authorized to speak on our behalf. Such factors include, without limitation, negative impacts on our business and operations in Israel due to the Anti-Dumping Investigation, including that we may not be able to produce, import or sell our products in Israel as a result thereof; negative impacts on our employees, business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and inflationary pressures and related increases in input, production, transportation and other operating costs, as well as potential impacts on consumer purchasing power; that we may not be able to successfully maintain or expand distribution of our products in our markets outside of Canada or Israel or generate meaningful revenue in those markets; that we may be unable to further streamline our operations and expenses; that we may not be able to effectively and efficiently re-enter the U.S. market in the future; that we may not be able to access raw materials on a timely and cost-effective basis from third parties or Cronos GrowCo; that the expected benefits of the expansion of Cronos GrowCo’s purpose-built cannabis facility (including any additional supply provided thereby) may not be fully realized within a reasonable time or at all or that Cronos GrowCo may not be able to repay its borrowings under the credit facility provided by Cronos; that the expected benefits of the High Tide Warrant and the High Tide Loan may not be fully realized within a reasonable time or at all or that High Tide may not be able to repay its borrowings under the High Tide Loan; that we may not be able to consummate our planned acquisition of CanAdelaar on the anticipated timeline or at all; the military conflict between Russia and Ukraine may disrupt our operations and those of our suppliers and distribution channels and negatively impact the demand for and use of our products; the risk that cost savings and any other synergies from the</w:t>
      </w:r>
    </w:p>
    <w:p>
      <w:pPr>
        <w:sectPr>
          <w:pgSz w:w="11900" w:h="16838" w:orient="portrait"/>
          <w:cols w:equalWidth="0" w:num="1">
            <w:col w:w="11240"/>
          </w:cols>
          <w:pgMar w:left="320" w:top="1349" w:right="339" w:bottom="1440" w:gutter="0" w:footer="0" w:header="0"/>
        </w:sectPr>
      </w:pPr>
    </w:p>
    <w:bookmarkStart w:id="16" w:name="page17"/>
    <w:bookmarkEnd w:id="16"/>
    <w:p>
      <w:pPr>
        <w:jc w:val="both"/>
        <w:spacing w:after="0" w:line="252" w:lineRule="auto"/>
        <w:rPr>
          <w:sz w:val="20"/>
          <w:szCs w:val="20"/>
          <w:color w:val="auto"/>
        </w:rPr>
      </w:pPr>
      <w:r>
        <w:rPr>
          <w:rFonts w:ascii="Arial" w:cs="Arial" w:eastAsia="Arial" w:hAnsi="Arial"/>
          <w:sz w:val="18"/>
          <w:szCs w:val="18"/>
          <w:color w:val="auto"/>
        </w:rPr>
        <w:t>Altria Investment may not be fully realized or may take longer to realize than expected; failure to execute key personnel changes; that our Realignment and our further leveraging of our strategic partnerships will not result in the expected cost-savings, efficiencies and other benefits or will result in greater than anticipated turnover in personnel; that we may not be able to efficiently and effectively manage our operations, and any changes thereto, at our Peace Naturals Campus; lower levels of revenues; the lack of consumer demand for or our inability or challenges in successfully scaling our products; our inability to manage disruptions in credit markets; unanticipated future levels of capital, environmental or maintenance expenditures, general and administrative and other expenses; failure to realize expected growth opportunities;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our failure to improve our internal control environment and our systems, processes and procedures; and the factors discussed under Part I, Item 1A “Risk Factors” of the Annual Report on Form 10-K for the year ended December 31, 2025 and under Part II, Item 1A “Risk Factors” in our Quarterly Reports. Readers are cautioned to consider these and other factors, uncertainties and potential events carefully and not to put undue reliance on Forward-Looking Statements.</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200" w:lineRule="exact"/>
        <w:rPr>
          <w:sz w:val="20"/>
          <w:szCs w:val="20"/>
          <w:color w:val="auto"/>
        </w:rPr>
      </w:pP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used in this press release, “CBD” means cannabidiol and “U.S. hemp” has the meaning given to the term “hemp” in the U.S. Agricultural Improvement Act of 2018, including hemp-derived CBD.</w:t>
      </w:r>
    </w:p>
    <w:p>
      <w:pPr>
        <w:sectPr>
          <w:pgSz w:w="11900" w:h="16838" w:orient="portrait"/>
          <w:cols w:equalWidth="0" w:num="1">
            <w:col w:w="11240"/>
          </w:cols>
          <w:pgMar w:left="320" w:top="998"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share amounts,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821,856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791,794</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34,099</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receivable</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14,445</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loans receivable, net</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46,750</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927,876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944,086</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7,664</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portion of loans receivable,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20,847</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142,102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1,172,109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1,197,140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10,281</w:t>
            </w:r>
          </w:p>
        </w:tc>
        <w:tc>
          <w:tcPr>
            <w:tcW w:w="8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lease obligation</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9"/>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48,187</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portion due to non-controlling interests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 of lease obligation</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48,295</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54,181</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240"/>
          </w:cols>
          <w:pgMar w:left="320" w:top="1177"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Share capital and additional paid-in capital (no par value; authorized for issue as of March 31, 2026 and December 31, 2025: unlimited;</w:t>
      </w:r>
    </w:p>
    <w:p>
      <w:pPr>
        <w:ind w:left="20"/>
        <w:spacing w:after="0"/>
        <w:rPr>
          <w:sz w:val="20"/>
          <w:szCs w:val="20"/>
          <w:color w:val="auto"/>
        </w:rPr>
      </w:pPr>
      <w:r>
        <w:rPr>
          <w:rFonts w:ascii="Times New Roman" w:cs="Times New Roman" w:eastAsia="Times New Roman" w:hAnsi="Times New Roman"/>
          <w:sz w:val="14"/>
          <w:szCs w:val="14"/>
          <w:color w:val="auto"/>
        </w:rPr>
        <w:t>shares outstanding as of March 31, 2026 and December 31, 2025: 376,258,707 and 381,592,969, respectively)</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647,040</w:t>
            </w: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662,983</w:t>
            </w:r>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460,540</w:t>
            </w: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447,756</w:t>
            </w:r>
          </w:p>
        </w:tc>
      </w:tr>
      <w:tr>
        <w:trPr>
          <w:trHeight w:val="20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(33,918)</w:t>
            </w:r>
          </w:p>
        </w:tc>
        <w:tc>
          <w:tcPr>
            <w:tcW w:w="10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(16,842)</w:t>
            </w:r>
          </w:p>
        </w:tc>
      </w:tr>
    </w:tbl>
    <w:p>
      <w:pPr>
        <w:spacing w:after="0" w:line="3" w:lineRule="exact"/>
        <w:rPr>
          <w:sz w:val="20"/>
          <w:szCs w:val="20"/>
          <w:color w:val="auto"/>
        </w:rPr>
      </w:pPr>
    </w:p>
    <w:p>
      <w:pPr>
        <w:sectPr>
          <w:pgSz w:w="11900" w:h="16838" w:orient="portrait"/>
          <w:cols w:equalWidth="0" w:num="2">
            <w:col w:w="8340" w:space="720"/>
            <w:col w:w="2180"/>
          </w:cols>
          <w:pgMar w:left="320" w:top="117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equity attributable to shareholders of Cronos Group</w:t>
            </w: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1,073,662</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1,093,897</w:t>
            </w:r>
          </w:p>
        </w:tc>
      </w:tr>
      <w:tr>
        <w:trPr>
          <w:trHeight w:val="196"/>
        </w:trPr>
        <w:tc>
          <w:tcPr>
            <w:tcW w:w="8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49,062</w:t>
            </w:r>
          </w:p>
        </w:tc>
      </w:tr>
      <w:tr>
        <w:trPr>
          <w:trHeight w:val="20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1,123,814</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1,142,959</w:t>
            </w:r>
          </w:p>
        </w:tc>
      </w:tr>
      <w:tr>
        <w:trPr>
          <w:trHeight w:val="19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5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1,172,109</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1,197,140</w:t>
            </w:r>
          </w:p>
        </w:tc>
      </w:tr>
      <w:tr>
        <w:trPr>
          <w:trHeight w:val="27"/>
        </w:trPr>
        <w:tc>
          <w:tcPr>
            <w:tcW w:w="80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177" w:right="339" w:bottom="1440" w:gutter="0" w:footer="0" w:header="0"/>
          <w:type w:val="continuous"/>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Net Income (Loss) and Comprehensive Income (Loss)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and per share amounts, unaudited)</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 before excise taxes</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41,898</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Excise taxes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32,262</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write-down</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costs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17,806</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(4,072)</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on revaluation of financial instruments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gain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allowance for credit loss on non-operating loan</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other income</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Cronos Group</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15,711</w:t>
            </w:r>
          </w:p>
        </w:tc>
        <w:tc>
          <w:tcPr>
            <w:tcW w:w="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Foreign exchange loss on translation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Cronos Group</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Basic net income per share attributable to Cronos Group</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net income per share attributable to Cronos Group</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47"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share amounts,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15,711</w:t>
            </w:r>
          </w:p>
        </w:tc>
        <w:tc>
          <w:tcPr>
            <w:tcW w:w="12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7,723</w:t>
            </w:r>
          </w:p>
        </w:tc>
      </w:tr>
      <w:tr>
        <w:trPr>
          <w:trHeight w:val="210"/>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w:t>
            </w: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investments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expected credit losses on long-term financial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 step-up recorded to cost of sales</w:t>
            </w:r>
          </w:p>
        </w:tc>
        <w:tc>
          <w:tcPr>
            <w:tcW w:w="9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gain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receivable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 net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(8,878)</w:t>
            </w:r>
          </w:p>
        </w:tc>
      </w:tr>
      <w:tr>
        <w:trPr>
          <w:trHeight w:val="189"/>
        </w:trPr>
        <w:tc>
          <w:tcPr>
            <w:tcW w:w="8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9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short-term investments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(15,258)</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9"/>
        </w:trPr>
        <w:tc>
          <w:tcPr>
            <w:tcW w:w="8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(55,356)</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 taxes paid on share-based awards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r>
      <w:tr>
        <w:trPr>
          <w:trHeight w:val="189"/>
        </w:trPr>
        <w:tc>
          <w:tcPr>
            <w:tcW w:w="8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currency translation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(60,986)</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791,794</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858,805</w:t>
            </w:r>
          </w:p>
        </w:tc>
      </w:tr>
      <w:tr>
        <w:trPr>
          <w:trHeight w:val="203"/>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821,856</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797,819</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95"/>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received</w:t>
            </w: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13,052</w:t>
            </w:r>
          </w:p>
        </w:tc>
      </w:tr>
      <w:tr>
        <w:trPr>
          <w:trHeight w:val="188"/>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ectPr>
          <w:pgSz w:w="11900" w:h="16838" w:orient="portrait"/>
          <w:cols w:equalWidth="0" w:num="1">
            <w:col w:w="11240"/>
          </w:cols>
          <w:pgMar w:left="320" w:top="9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Cronos reports its financial results in accordance with Generally Accepted Accounting Principles in the United States (“U.S. GAAP”). This press release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the results of operations from management’s perspective. Accordingly, non-GAAP measures should not be considered a substitute for, or superior to, the financial information prepared and presented in accordance with U.S. GAAP. All non-GAAP measures presented in this press release are reconciled to their closest reported U.S. GAAP measure. Reconciliations of historical adjusted financial measures to corresponding U.S. GAAP measures are provided below.</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gain on revaluation of loan receivable; gain on revaluation of equity method investment; transaction costs related to strategic projects; loss on held-for-sale assets; impairment loss on other investments; foreign currency transaction (gain) loss; other, net; loss from discontinued operations; change in allowance for credit loss on non-operating loan; restructuring costs; inventory write-downs resulting from restructuring actions; share-based compensation; costs related to the Israel Ministry of Economy and Industry dumping inquiry; purchase accounting adjustment-related inventory step-up adjustments recorded through cost of sales; and restatement litigation costs and reserves related to the restatements of our 2019 and 2021 interim financial statements (the “Restatements”), including the costs related to the settlement of the SEC’s and the OSC’s investigations of the Restatements and legal costs of defending shareholder class action complaints brought against us as a result of the 2019 restatement (see Note 10(b) “Contingencies,” to the condensed consolidated financial statements under Item 1 of our Quarterly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believes that Adjusted EBITDA provides useful insight into underlying business trends and results and facilitates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2025, the Company modified the composition of Adjusted EBITDA to exclude the impact of the provision for expected credit losses recognized under ASC 326 solely with respect to the High Tide Loan (see Note 4 “Loans Receivable, net” to the condensed consolidated financial statements under Item 1 of our Quarterly Report for further information). Management determined that excluding this non-cash provision provides investors with additional insight into period-over-period operating performance by isolating credit-risk movements unrelated to the Company’s core operations.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believes that this change provides additional information regarding the Company’s ongoing operational results and enhances comparability with peers that do not routinely extend credit to third parties. This change does not affect the Company’s GAAP financial statements.</w:t>
      </w:r>
    </w:p>
    <w:p>
      <w:pPr>
        <w:sectPr>
          <w:pgSz w:w="11900" w:h="16838" w:orient="portrait"/>
          <w:cols w:equalWidth="0" w:num="1">
            <w:col w:w="11240"/>
          </w:cols>
          <w:pgMar w:left="320" w:top="1241" w:right="339" w:bottom="1440" w:gutter="0" w:footer="0" w:header="0"/>
        </w:sectPr>
      </w:pPr>
    </w:p>
    <w:bookmarkStart w:id="21" w:name="page22"/>
    <w:bookmarkEnd w:id="21"/>
    <w:p>
      <w:pPr>
        <w:spacing w:after="0" w:line="287" w:lineRule="auto"/>
        <w:rPr>
          <w:sz w:val="20"/>
          <w:szCs w:val="20"/>
          <w:color w:val="auto"/>
        </w:rPr>
      </w:pPr>
      <w:r>
        <w:rPr>
          <w:rFonts w:ascii="Arial" w:cs="Arial" w:eastAsia="Arial" w:hAnsi="Arial"/>
          <w:sz w:val="18"/>
          <w:szCs w:val="18"/>
          <w:color w:val="auto"/>
        </w:rPr>
        <w:t>The following tables set forth a reconciliation of Net income as determined in accordance with U.S. GAAP to Adjusted EBITDA for the periods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01"/>
        </w:trPr>
        <w:tc>
          <w:tcPr>
            <w:tcW w:w="9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15,711</w:t>
            </w:r>
          </w:p>
        </w:tc>
      </w:tr>
      <w:tr>
        <w:trPr>
          <w:trHeight w:val="195"/>
        </w:trPr>
        <w:tc>
          <w:tcPr>
            <w:tcW w:w="9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 net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w:t>
            </w:r>
          </w:p>
        </w:tc>
      </w:tr>
      <w:tr>
        <w:trPr>
          <w:trHeight w:val="210"/>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r>
      <w:tr>
        <w:trPr>
          <w:trHeight w:val="196"/>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3,727</w:t>
            </w:r>
          </w:p>
        </w:tc>
      </w:tr>
      <w:tr>
        <w:trPr>
          <w:trHeight w:val="203"/>
        </w:trPr>
        <w:tc>
          <w:tcPr>
            <w:tcW w:w="9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EBITDA</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13,013</w:t>
            </w:r>
          </w:p>
        </w:tc>
      </w:tr>
      <w:tr>
        <w:trPr>
          <w:trHeight w:val="195"/>
        </w:trPr>
        <w:tc>
          <w:tcPr>
            <w:tcW w:w="9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revaluation of financial instruments</w:t>
            </w:r>
            <w:r>
              <w:rPr>
                <w:rFonts w:ascii="Times New Roman" w:cs="Times New Roman" w:eastAsia="Times New Roman" w:hAnsi="Times New Roman"/>
                <w:sz w:val="9"/>
                <w:szCs w:val="9"/>
                <w:color w:val="auto"/>
              </w:rPr>
              <w:t>(i)</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r>
      <w:tr>
        <w:trPr>
          <w:trHeight w:val="210"/>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transaction gain</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(13,699)</w:t>
            </w:r>
          </w:p>
        </w:tc>
      </w:tr>
      <w:tr>
        <w:trPr>
          <w:trHeight w:val="195"/>
        </w:trPr>
        <w:tc>
          <w:tcPr>
            <w:tcW w:w="9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 costs</w:t>
            </w:r>
            <w:r>
              <w:rPr>
                <w:rFonts w:ascii="Times New Roman" w:cs="Times New Roman" w:eastAsia="Times New Roman" w:hAnsi="Times New Roman"/>
                <w:sz w:val="9"/>
                <w:szCs w:val="9"/>
                <w:color w:val="auto"/>
              </w:rPr>
              <w:t>(ii)</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r>
      <w:tr>
        <w:trPr>
          <w:trHeight w:val="210"/>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9"/>
                <w:szCs w:val="9"/>
                <w:color w:val="auto"/>
              </w:rPr>
              <w:t>(iii)</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9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9"/>
                <w:szCs w:val="9"/>
                <w:color w:val="auto"/>
              </w:rPr>
              <w:t>(iv)</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210"/>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9"/>
                <w:szCs w:val="9"/>
                <w:color w:val="auto"/>
              </w:rPr>
              <w:t>(v)</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r>
      <w:tr>
        <w:trPr>
          <w:trHeight w:val="195"/>
        </w:trPr>
        <w:tc>
          <w:tcPr>
            <w:tcW w:w="9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Restatement litigation costs</w:t>
            </w:r>
            <w:r>
              <w:rPr>
                <w:rFonts w:ascii="Times New Roman" w:cs="Times New Roman" w:eastAsia="Times New Roman" w:hAnsi="Times New Roman"/>
                <w:sz w:val="9"/>
                <w:szCs w:val="9"/>
                <w:color w:val="auto"/>
              </w:rPr>
              <w:t>(vi)</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210"/>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Israel Ministry of Economy and Industry dumping inquiry expense</w:t>
            </w:r>
            <w:r>
              <w:rPr>
                <w:rFonts w:ascii="Times New Roman" w:cs="Times New Roman" w:eastAsia="Times New Roman" w:hAnsi="Times New Roman"/>
                <w:sz w:val="9"/>
                <w:szCs w:val="9"/>
                <w:color w:val="auto"/>
              </w:rPr>
              <w:t>(vii)</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Change in allowance for credit loss on non-operating loan</w:t>
            </w:r>
            <w:r>
              <w:rPr>
                <w:rFonts w:ascii="Times New Roman" w:cs="Times New Roman" w:eastAsia="Times New Roman" w:hAnsi="Times New Roman"/>
                <w:sz w:val="9"/>
                <w:szCs w:val="9"/>
                <w:color w:val="auto"/>
              </w:rPr>
              <w:t>(viii)</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21"/>
        </w:trPr>
        <w:tc>
          <w:tcPr>
            <w:tcW w:w="9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1"/>
        </w:trPr>
        <w:tc>
          <w:tcPr>
            <w:tcW w:w="9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r>
      <w:tr>
        <w:trPr>
          <w:trHeight w:val="195"/>
        </w:trPr>
        <w:tc>
          <w:tcPr>
            <w:tcW w:w="9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 net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(9,665)</w:t>
            </w:r>
          </w:p>
        </w:tc>
      </w:tr>
      <w:tr>
        <w:trPr>
          <w:trHeight w:val="210"/>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benefit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196"/>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2,840</w:t>
            </w:r>
          </w:p>
        </w:tc>
      </w:tr>
      <w:tr>
        <w:trPr>
          <w:trHeight w:val="203"/>
        </w:trPr>
        <w:tc>
          <w:tcPr>
            <w:tcW w:w="9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EBITDA</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03"/>
        </w:trPr>
        <w:tc>
          <w:tcPr>
            <w:tcW w:w="95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Gain on revaluation of financial instruments</w:t>
            </w:r>
            <w:r>
              <w:rPr>
                <w:rFonts w:ascii="Times New Roman" w:cs="Times New Roman" w:eastAsia="Times New Roman" w:hAnsi="Times New Roman"/>
                <w:sz w:val="18"/>
                <w:szCs w:val="18"/>
                <w:color w:val="auto"/>
                <w:vertAlign w:val="superscript"/>
              </w:rPr>
              <w:t>(i)</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3"/>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transaction gain</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203"/>
        </w:trPr>
        <w:tc>
          <w:tcPr>
            <w:tcW w:w="95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Transaction costs</w:t>
            </w:r>
            <w:r>
              <w:rPr>
                <w:rFonts w:ascii="Times New Roman" w:cs="Times New Roman" w:eastAsia="Times New Roman" w:hAnsi="Times New Roman"/>
                <w:sz w:val="18"/>
                <w:szCs w:val="18"/>
                <w:color w:val="auto"/>
                <w:vertAlign w:val="superscript"/>
              </w:rPr>
              <w:t>(ii)</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3"/>
        </w:trPr>
        <w:tc>
          <w:tcPr>
            <w:tcW w:w="956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18"/>
                <w:szCs w:val="18"/>
                <w:color w:val="auto"/>
                <w:vertAlign w:val="superscript"/>
              </w:rPr>
              <w:t>(iii)</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95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(iv)</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203"/>
        </w:trPr>
        <w:tc>
          <w:tcPr>
            <w:tcW w:w="956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18"/>
                <w:szCs w:val="18"/>
                <w:color w:val="auto"/>
                <w:vertAlign w:val="superscript"/>
              </w:rPr>
              <w:t>(v)</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r>
      <w:tr>
        <w:trPr>
          <w:trHeight w:val="203"/>
        </w:trPr>
        <w:tc>
          <w:tcPr>
            <w:tcW w:w="95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Restatement litigation costs</w:t>
            </w:r>
            <w:r>
              <w:rPr>
                <w:rFonts w:ascii="Times New Roman" w:cs="Times New Roman" w:eastAsia="Times New Roman" w:hAnsi="Times New Roman"/>
                <w:sz w:val="18"/>
                <w:szCs w:val="18"/>
                <w:color w:val="auto"/>
                <w:vertAlign w:val="superscript"/>
              </w:rPr>
              <w:t>(vi)</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3"/>
        </w:trPr>
        <w:tc>
          <w:tcPr>
            <w:tcW w:w="956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Israel Ministry of Economy and Industry dumping inquiry expense</w:t>
            </w:r>
            <w:r>
              <w:rPr>
                <w:rFonts w:ascii="Times New Roman" w:cs="Times New Roman" w:eastAsia="Times New Roman" w:hAnsi="Times New Roman"/>
                <w:sz w:val="18"/>
                <w:szCs w:val="18"/>
                <w:color w:val="auto"/>
                <w:vertAlign w:val="superscript"/>
              </w:rPr>
              <w:t>(vii)</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3"/>
        </w:trPr>
        <w:tc>
          <w:tcPr>
            <w:tcW w:w="9560" w:type="dxa"/>
            <w:vAlign w:val="bottom"/>
            <w:tcBorders>
              <w:bottom w:val="single" w:sz="8" w:color="CCEEFF"/>
            </w:tcBorders>
          </w:tcPr>
          <w:p>
            <w:pPr>
              <w:ind w:left="340"/>
              <w:spacing w:after="0" w:line="202" w:lineRule="exact"/>
              <w:rPr>
                <w:sz w:val="20"/>
                <w:szCs w:val="20"/>
                <w:color w:val="auto"/>
              </w:rPr>
            </w:pPr>
            <w:r>
              <w:rPr>
                <w:rFonts w:ascii="Times New Roman" w:cs="Times New Roman" w:eastAsia="Times New Roman" w:hAnsi="Times New Roman"/>
                <w:sz w:val="14"/>
                <w:szCs w:val="14"/>
                <w:color w:val="auto"/>
              </w:rPr>
              <w:t>Inventory step-up recorded to cost of sales</w:t>
            </w:r>
            <w:r>
              <w:rPr>
                <w:rFonts w:ascii="Times New Roman" w:cs="Times New Roman" w:eastAsia="Times New Roman" w:hAnsi="Times New Roman"/>
                <w:sz w:val="18"/>
                <w:szCs w:val="18"/>
                <w:color w:val="auto"/>
                <w:vertAlign w:val="superscript"/>
              </w:rPr>
              <w:t>(ix)</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214"/>
        </w:trPr>
        <w:tc>
          <w:tcPr>
            <w:tcW w:w="9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500" w:hanging="492"/>
        <w:spacing w:after="0" w:line="234" w:lineRule="auto"/>
        <w:tabs>
          <w:tab w:leader="none" w:pos="488"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the loss on revaluation of financial instruments was driven by a loss related to the Company’s High Tide Warrant and the Company’s equity securities in Vitura. For the three months ended March 31, 2025, the gain on revaluation of financial instruments related primarily to the revaluation of the Company’s DSU liability, partially offset by a loss on the Company’s equity securities in Vitura.</w:t>
      </w:r>
    </w:p>
    <w:p>
      <w:pPr>
        <w:spacing w:after="0" w:line="40" w:lineRule="exact"/>
        <w:rPr>
          <w:rFonts w:ascii="Arial" w:cs="Arial" w:eastAsia="Arial" w:hAnsi="Arial"/>
          <w:sz w:val="19"/>
          <w:szCs w:val="19"/>
          <w:color w:val="auto"/>
          <w:vertAlign w:val="superscript"/>
        </w:rPr>
      </w:pPr>
    </w:p>
    <w:p>
      <w:pPr>
        <w:jc w:val="both"/>
        <w:ind w:left="500" w:hanging="492"/>
        <w:spacing w:after="0"/>
        <w:tabs>
          <w:tab w:leader="none" w:pos="496"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transaction costs represented fees related to the pending acquisition of CanAdelaar. For the three months ended March 31, 2025, transaction costs represented legal, financial and other advisory fees and expenses incurred in connection with the Cronos GrowCo Transaction. These costs are included in general and administrative expenses on the condensed consolidated statements of net income (loss) and comprehensive income (loss).</w:t>
      </w:r>
    </w:p>
    <w:p>
      <w:pPr>
        <w:spacing w:after="0" w:line="26" w:lineRule="exact"/>
        <w:rPr>
          <w:rFonts w:ascii="Arial" w:cs="Arial" w:eastAsia="Arial" w:hAnsi="Arial"/>
          <w:sz w:val="19"/>
          <w:szCs w:val="19"/>
          <w:color w:val="auto"/>
          <w:vertAlign w:val="superscript"/>
        </w:rPr>
      </w:pPr>
    </w:p>
    <w:p>
      <w:pPr>
        <w:ind w:left="500" w:hanging="492"/>
        <w:spacing w:after="0" w:line="300" w:lineRule="auto"/>
        <w:tabs>
          <w:tab w:leader="none" w:pos="489" w:val="left"/>
        </w:tabs>
        <w:numPr>
          <w:ilvl w:val="0"/>
          <w:numId w:val="19"/>
        </w:numPr>
        <w:rPr>
          <w:rFonts w:ascii="Arial" w:cs="Arial" w:eastAsia="Arial" w:hAnsi="Arial"/>
          <w:sz w:val="9"/>
          <w:szCs w:val="9"/>
          <w:color w:val="auto"/>
        </w:rPr>
      </w:pPr>
      <w:r>
        <w:rPr>
          <w:rFonts w:ascii="Arial" w:cs="Arial" w:eastAsia="Arial" w:hAnsi="Arial"/>
          <w:sz w:val="14"/>
          <w:szCs w:val="14"/>
          <w:color w:val="auto"/>
        </w:rPr>
        <w:t>For the three months ended March 31, 2026, other, net related to rental income. For the three months ended March 31, 2025, other, net related to (gain) loss on disposal of assets and (gain) loss on revaluation of derivative liabilities.</w:t>
      </w:r>
    </w:p>
    <w:p>
      <w:pPr>
        <w:spacing w:after="0" w:line="2" w:lineRule="exact"/>
        <w:rPr>
          <w:rFonts w:ascii="Arial" w:cs="Arial" w:eastAsia="Arial" w:hAnsi="Arial"/>
          <w:sz w:val="9"/>
          <w:szCs w:val="9"/>
          <w:color w:val="auto"/>
        </w:rPr>
      </w:pPr>
    </w:p>
    <w:p>
      <w:pPr>
        <w:ind w:left="500" w:hanging="492"/>
        <w:spacing w:after="0" w:line="231" w:lineRule="auto"/>
        <w:tabs>
          <w:tab w:leader="none" w:pos="495"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and 2025, restructuring costs related to employee-related severance costs and IT infrastructure and finance transformation costs associated with the Realignment.</w:t>
      </w:r>
    </w:p>
    <w:p>
      <w:pPr>
        <w:spacing w:after="0" w:line="39" w:lineRule="exact"/>
        <w:rPr>
          <w:rFonts w:ascii="Arial" w:cs="Arial" w:eastAsia="Arial" w:hAnsi="Arial"/>
          <w:sz w:val="19"/>
          <w:szCs w:val="19"/>
          <w:color w:val="auto"/>
          <w:vertAlign w:val="superscript"/>
        </w:rPr>
      </w:pPr>
    </w:p>
    <w:p>
      <w:pPr>
        <w:jc w:val="both"/>
        <w:ind w:left="500" w:hanging="492"/>
        <w:spacing w:after="0" w:line="234" w:lineRule="auto"/>
        <w:tabs>
          <w:tab w:leader="none" w:pos="487"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share-based compensation related to the expenses of share-based compensation awarded to employees and DSUs issued to our Board of Directors, each under the Company’s share-based award plans. For the three months ended March 31, 2025, share-based compensation related to the expenses of share-based compensation awarded to employees, each under the Company’s share-based award plans.</w:t>
      </w:r>
    </w:p>
    <w:p>
      <w:pPr>
        <w:spacing w:after="0" w:line="40" w:lineRule="exact"/>
        <w:rPr>
          <w:rFonts w:ascii="Arial" w:cs="Arial" w:eastAsia="Arial" w:hAnsi="Arial"/>
          <w:sz w:val="19"/>
          <w:szCs w:val="19"/>
          <w:color w:val="auto"/>
          <w:vertAlign w:val="superscript"/>
        </w:rPr>
      </w:pPr>
    </w:p>
    <w:p>
      <w:pPr>
        <w:ind w:left="500" w:hanging="492"/>
        <w:spacing w:after="0" w:line="231" w:lineRule="auto"/>
        <w:tabs>
          <w:tab w:leader="none" w:pos="495"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and 2025, restatement litigation costs included legal costs incurred defending shareholder class action complaints brought against the Company as a result of the 2019 restatement.</w:t>
      </w:r>
    </w:p>
    <w:p>
      <w:pPr>
        <w:sectPr>
          <w:pgSz w:w="11900" w:h="16838" w:orient="portrait"/>
          <w:cols w:equalWidth="0" w:num="1">
            <w:col w:w="11240"/>
          </w:cols>
          <w:pgMar w:left="320" w:top="998" w:right="339" w:bottom="1440" w:gutter="0" w:footer="0" w:header="0"/>
        </w:sectPr>
      </w:pPr>
    </w:p>
    <w:bookmarkStart w:id="22" w:name="page23"/>
    <w:bookmarkEnd w:id="22"/>
    <w:p>
      <w:pPr>
        <w:ind w:left="500" w:hanging="492"/>
        <w:spacing w:after="0" w:line="300" w:lineRule="auto"/>
        <w:tabs>
          <w:tab w:leader="none" w:pos="488" w:val="left"/>
        </w:tabs>
        <w:numPr>
          <w:ilvl w:val="0"/>
          <w:numId w:val="20"/>
        </w:numPr>
        <w:rPr>
          <w:rFonts w:ascii="Arial" w:cs="Arial" w:eastAsia="Arial" w:hAnsi="Arial"/>
          <w:sz w:val="9"/>
          <w:szCs w:val="9"/>
          <w:color w:val="auto"/>
        </w:rPr>
      </w:pPr>
      <w:r>
        <w:rPr>
          <w:rFonts w:ascii="Arial" w:cs="Arial" w:eastAsia="Arial" w:hAnsi="Arial"/>
          <w:sz w:val="14"/>
          <w:szCs w:val="14"/>
          <w:color w:val="auto"/>
        </w:rPr>
        <w:t>For the three months ended March 31, 2026 and 2025, Israel Ministry of Economy and Industry dumping inquiry expense included expenditures relating to the regulatory inquiry about alleged dumping of medical cannabis products in Israel and related litigation and external relations expenses.</w:t>
      </w:r>
    </w:p>
    <w:p>
      <w:pPr>
        <w:spacing w:after="0" w:line="2" w:lineRule="exact"/>
        <w:rPr>
          <w:rFonts w:ascii="Arial" w:cs="Arial" w:eastAsia="Arial" w:hAnsi="Arial"/>
          <w:sz w:val="9"/>
          <w:szCs w:val="9"/>
          <w:color w:val="auto"/>
        </w:rPr>
      </w:pPr>
    </w:p>
    <w:p>
      <w:pPr>
        <w:ind w:left="500" w:right="20" w:hanging="492"/>
        <w:spacing w:after="0" w:line="231" w:lineRule="auto"/>
        <w:tabs>
          <w:tab w:leader="none" w:pos="496"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change in allowance for credit loss on non-operating loan represents the allowance recognized on the High Tide loan receivable.</w:t>
      </w:r>
    </w:p>
    <w:p>
      <w:pPr>
        <w:spacing w:after="0" w:line="39" w:lineRule="exact"/>
        <w:rPr>
          <w:rFonts w:ascii="Arial" w:cs="Arial" w:eastAsia="Arial" w:hAnsi="Arial"/>
          <w:sz w:val="19"/>
          <w:szCs w:val="19"/>
          <w:color w:val="auto"/>
          <w:vertAlign w:val="superscript"/>
        </w:rPr>
      </w:pPr>
    </w:p>
    <w:p>
      <w:pPr>
        <w:ind w:left="500" w:right="20" w:hanging="492"/>
        <w:spacing w:after="0" w:line="222" w:lineRule="auto"/>
        <w:tabs>
          <w:tab w:leader="none" w:pos="495"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2025, inventory step-up recorded to cost of sales represents the portion of the inventory step-up from the Cronos GrowCo Transaction that was recorded through the condensed consolidated statements of net income (loss) and comprehensive income (loss).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Adjusted EBITDA was $5.1 million, representing an improvement of $ 2.8 million from the three months ended March 31, 2025. The improvement was primarily due to higher gross profit, partially offset by higher operating expenses due to higher sales and marketing, general and administrative, and research and development costs.</w:t>
      </w:r>
    </w:p>
    <w:p>
      <w:pPr>
        <w:sectPr>
          <w:pgSz w:w="11900" w:h="16838" w:orient="portrait"/>
          <w:cols w:equalWidth="0" w:num="1">
            <w:col w:w="11240"/>
          </w:cols>
          <w:pgMar w:left="320" w:top="95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supplement the consolidated financial statements presented in accordance with U.S. GAAP, we have presented Adjusted Gross Profit and Adjusted Gross Margin, non-GAAP measures that exclude the impacts of inventory-related purchase accounting adjustments from the calculations of gross profit and gross margin, which resulted from the Cronos GrowCo Transaction. Results are reported as total consolidated results, reflecting our reporting structure of one reportable segment.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believes that Adjusted Gross Profit and Adjusted Gross Margin provide useful insight into underlying business trends to facilitate comparisons of period-over-period results by removing the impacts of inventory-related purchase accounting adjustments resulting from the Cronos GrowCo Transaction, which reflect a one-time event and do not reflect management’s assessment of ongoing business performance.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Gross profit and Gross margin, each as determined in accordance with U.S. GAAP,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Profit and Adjusted Gross Margin, respectively,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6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 step-up recorded to cost of sales</w:t>
            </w: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Gross margin</w:t>
            </w:r>
            <w:r>
              <w:rPr>
                <w:rFonts w:ascii="Times New Roman" w:cs="Times New Roman" w:eastAsia="Times New Roman" w:hAnsi="Times New Roman"/>
                <w:sz w:val="21"/>
                <w:szCs w:val="21"/>
                <w:color w:val="auto"/>
                <w:vertAlign w:val="superscript"/>
              </w:rPr>
              <w:t>(i)</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(1)pp</w:t>
            </w:r>
          </w:p>
        </w:tc>
      </w:tr>
      <w:tr>
        <w:trPr>
          <w:trHeight w:val="281"/>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r>
              <w:rPr>
                <w:rFonts w:ascii="Times New Roman" w:cs="Times New Roman" w:eastAsia="Times New Roman" w:hAnsi="Times New Roman"/>
                <w:sz w:val="21"/>
                <w:szCs w:val="21"/>
                <w:color w:val="auto"/>
                <w:vertAlign w:val="superscript"/>
              </w:rPr>
              <w:t>(ii)</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(2)pp</w:t>
            </w:r>
          </w:p>
        </w:tc>
      </w:tr>
    </w:tbl>
    <w:p>
      <w:pPr>
        <w:spacing w:after="0" w:line="100"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Gross margin is defined as gross profit divided by net revenue.</w:t>
      </w:r>
    </w:p>
    <w:p>
      <w:pPr>
        <w:spacing w:after="0" w:line="53" w:lineRule="exact"/>
        <w:rPr>
          <w:rFonts w:ascii="Arial" w:cs="Arial" w:eastAsia="Arial" w:hAnsi="Arial"/>
          <w:sz w:val="19"/>
          <w:szCs w:val="19"/>
          <w:color w:val="auto"/>
          <w:vertAlign w:val="superscript"/>
        </w:rPr>
      </w:pPr>
    </w:p>
    <w:p>
      <w:pPr>
        <w:ind w:left="480" w:hanging="472"/>
        <w:spacing w:after="0" w:line="193" w:lineRule="auto"/>
        <w:tabs>
          <w:tab w:leader="none" w:pos="4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Adjusted Gross Margin is defined as Adjusted Gross Profit divided by net revenue.</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Adjusted Gross Profit was $19.2 million, representing an increase of $ 4.9 million from the three months ended March 31, 2025. The increase was primarily due to higher average sales prices, largely driven by a mix shift to Israel and other countries, which carry no excise taxes, and higher sales volumes.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the consolidated financial statements presented in accordance with U.S. GAAP, we have presented constant currency adjusted financial measures for net revenue, gross profit, gross profit margin, operating expenses, net income (loss) and Adjusted EBITDA for the three months ended March 31, 2026, as well as cash and cash equivalents and short-term investment balances as of March 31, 2026 compared to December 31, 2025,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month comparative period in 2025 rather than the actual average exchange rates in effect during the respective current period; constant currency current and prior comparative balance sheet information is translated at the prior year-end spot rate rather than the current period spot rate. All growth comparisons relate to the corresponding period in 2025. We have provided this non-GAAP financial information to aid investors in better understanding the performance of our operations. The non-GAAP financial measures presented in this press release should not be considered as a substitute for, or superior to, the measures of financial performance prepared in accordance with U.S. GAAP.</w:t>
      </w:r>
    </w:p>
    <w:p>
      <w:pPr>
        <w:sectPr>
          <w:pgSz w:w="11900" w:h="16838" w:orient="portrait"/>
          <w:cols w:equalWidth="0" w:num="1">
            <w:col w:w="11240"/>
          </w:cols>
          <w:pgMar w:left="320" w:top="1000"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The table below sets forth certain measures of consolidated results from continuing operations on a constant currency basis for the three months ended March 31, 2026 compared to the three months ended March 31, 2025 as well as cash and cash equivalents and short-term investments as of March 31, 2026 and December 31, 2025, both on an as-reported and constant currency basis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1"/>
                <w:szCs w:val="11"/>
                <w:color w:val="auto"/>
              </w:rPr>
            </w:pPr>
          </w:p>
        </w:tc>
        <w:tc>
          <w:tcPr>
            <w:tcW w:w="176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90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45,210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32,262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12,948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41,913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19,153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13,734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5,419</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17,588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(1)pp</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(1)pp</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20,986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17,806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3,180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15,711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7,723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7,988</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14,809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2,289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2,790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7"/>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w:t>
            </w:r>
          </w:p>
        </w:tc>
        <w:tc>
          <w:tcPr>
            <w:tcW w:w="340" w:type="dxa"/>
            <w:vAlign w:val="bottom"/>
          </w:tcPr>
          <w:p>
            <w:pPr>
              <w:spacing w:after="0"/>
              <w:rPr>
                <w:sz w:val="24"/>
                <w:szCs w:val="24"/>
                <w:color w:val="auto"/>
              </w:rPr>
            </w:pPr>
          </w:p>
        </w:tc>
        <w:tc>
          <w:tcPr>
            <w:tcW w:w="176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24"/>
                <w:szCs w:val="24"/>
                <w:color w:val="auto"/>
              </w:rPr>
            </w:pPr>
          </w:p>
        </w:tc>
        <w:tc>
          <w:tcPr>
            <w:tcW w:w="190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821,856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791,794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30,062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822,316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45"/>
        </w:trPr>
        <w:tc>
          <w:tcPr>
            <w:tcW w:w="228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821,856</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831,794</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w:t>
            </w: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822,316</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116"/>
        </w:trPr>
        <w:tc>
          <w:tcPr>
            <w:tcW w:w="2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short-term investments</w:t>
            </w:r>
          </w:p>
        </w:tc>
        <w:tc>
          <w:tcPr>
            <w:tcW w:w="12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2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1"/>
                <w:szCs w:val="11"/>
                <w:color w:val="auto"/>
              </w:rPr>
            </w:pPr>
          </w:p>
        </w:tc>
        <w:tc>
          <w:tcPr>
            <w:tcW w:w="2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Cannabis flower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33,734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10,390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30,972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Cannabis extracts</w:t>
            </w: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10,923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45,210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32,262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12,948</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41,913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5"/>
        </w:trPr>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1"/>
                <w:szCs w:val="11"/>
                <w:color w:val="auto"/>
              </w:rPr>
            </w:pPr>
          </w:p>
        </w:tc>
        <w:tc>
          <w:tcPr>
            <w:tcW w:w="2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5,221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24,221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14,151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4,922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12,240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countries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5,708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2,805</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5,452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45,210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32,262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12,948</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41,913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2026, net revenue on a constant currency basis was $41.9 million, representing a 30% increase from the three months ended March 31, 2025. On a constant currency basis, net revenue increased for the three months ended March 31, 2026, primarily due to higher cannabis flower sales in Israel and other countries, which carry no excise taxes, and higher cannabis extract and flower sales in the Canadian market.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2026, gross profit on a constant currency basis was $17.6 million, representing a 28% increase from the three months ended March 31, 2025. On a constant currency basis, gross profit increased for the three months ended March 31, 2026, primarily due to higher average sales prices, largely driven by a mix shift to Israel and other countries, which carry no excise taxes, and higher sales volumes. For the three months ended March 31, 2025, we recognized $0.5 million of inventory step-up from the Cronos GrowCo Transaction in cost of sales. No such costs were recognized for the three months ended March 31,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2026, operating expenses on a constant currency basis were $20.0 million, representing a 12% increase from the three months ended March 31, 2025. On a constant currency basis, operating expenses increased for the three months ended March 31, 2026, primarily due to higher salaries and benefits, transaction costs and product development costs, partially offset by lower share-based compensation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net income on a constant currency basis was $ 14.8 million, representing a higher net income of $7.1 million from the three months ended March 31, 2025. On a constant currency basis, the improvement in net income for the three months ended March 31, 2026, was primarily due to higher gross profit and other income, partially offset by higher operating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2026, Adjusted EBITDA on a constant currency basis was $4.2 million, representing a $1.9 million improvement from the three months ended March 31, 2025. The improvement in Adjusted EBITDA for the three months ended March 31, 2026 on a constant currency basis was driven by higher gross profit, partially offset by higher operating expenses due to higher sales and marketing, general and administrative, and research and development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&amp; short-term investments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and cash equivalents and short-term investments on a constant currency basis decreased 1% to $822.3 million as of March 31, 2026, from $831.8 million as of December 31, 2025. The decrease in cash and cash equivalents and short-term investments on a constant currency basis is primarily due to repurchases of common stock, purchases of property,</w:t>
      </w:r>
    </w:p>
    <w:p>
      <w:pPr>
        <w:sectPr>
          <w:pgSz w:w="11900" w:h="16838" w:orient="portrait"/>
          <w:cols w:equalWidth="0" w:num="1">
            <w:col w:w="11240"/>
          </w:cols>
          <w:pgMar w:left="320" w:top="1348" w:right="339" w:bottom="1440" w:gutter="0" w:footer="0" w:header="0"/>
        </w:sectPr>
      </w:pPr>
    </w:p>
    <w:bookmarkStart w:id="26" w:name="page27"/>
    <w:bookmarkEnd w:id="26"/>
    <w:p>
      <w:pPr>
        <w:ind w:right="920"/>
        <w:spacing w:after="0" w:line="375" w:lineRule="auto"/>
        <w:rPr>
          <w:sz w:val="20"/>
          <w:szCs w:val="20"/>
          <w:color w:val="auto"/>
        </w:rPr>
      </w:pPr>
      <w:r>
        <w:rPr>
          <w:rFonts w:ascii="Arial" w:cs="Arial" w:eastAsia="Arial" w:hAnsi="Arial"/>
          <w:sz w:val="18"/>
          <w:szCs w:val="18"/>
          <w:color w:val="auto"/>
        </w:rPr>
        <w:t xml:space="preserve">plant and equipment, and withholding taxes paid on share-based awards, partially offset by positive cash from operating activities. </w:t>
      </w:r>
      <w:r>
        <w:rPr>
          <w:rFonts w:ascii="Arial" w:cs="Arial" w:eastAsia="Arial" w:hAnsi="Arial"/>
          <w:sz w:val="18"/>
          <w:szCs w:val="18"/>
          <w:b w:val="1"/>
          <w:bCs w:val="1"/>
          <w:color w:val="auto"/>
        </w:rPr>
        <w:t>Foreign currency exchange rates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currency amounts in this press release are stated in U.S. dollars, which is our reporting currency, unless otherwise noted. All references to “dollars” or “$” are to U.S. dollars. The assets and liabilities of our foreign operations are translated into dollars at the exchange rate in effect as of March 31, 2026, March 31, 2025, and December 31, 2025. Transactions affecting the shareholders’ equity (deficit) are translated at historical foreign exchange rates. The condensed consolidated statements of net income (loss) and comprehensive income (loss) and condensed consolidated statements of cash flows of our foreign operations are translated into dollars by applying the average foreign exchange rate in effect for the reporting period as reported on Bloomberg.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rates used to translate from Canadian dollars (“C$”) to dollars are shown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40" w:type="dxa"/>
            <w:vAlign w:val="bottom"/>
          </w:tcPr>
          <w:p>
            <w:pPr>
              <w:spacing w:after="0"/>
              <w:rPr>
                <w:sz w:val="16"/>
                <w:szCs w:val="16"/>
                <w:color w:val="auto"/>
              </w:rPr>
            </w:pPr>
          </w:p>
        </w:tc>
      </w:tr>
      <w:tr>
        <w:trPr>
          <w:trHeight w:val="23"/>
        </w:trPr>
        <w:tc>
          <w:tcPr>
            <w:tcW w:w="61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6180" w:type="dxa"/>
            <w:vAlign w:val="bottom"/>
          </w:tcPr>
          <w:p>
            <w:pPr>
              <w:spacing w:after="0"/>
              <w:rPr>
                <w:sz w:val="16"/>
                <w:szCs w:val="16"/>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1.3916</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1.4393</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1.3698</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1.3720</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1.4356</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rates used to translate from Israeli New Shekels (“ILS”) to dollars are shown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40" w:type="dxa"/>
            <w:vAlign w:val="bottom"/>
          </w:tcPr>
          <w:p>
            <w:pPr>
              <w:spacing w:after="0"/>
              <w:rPr>
                <w:sz w:val="16"/>
                <w:szCs w:val="16"/>
                <w:color w:val="auto"/>
              </w:rPr>
            </w:pPr>
          </w:p>
        </w:tc>
      </w:tr>
      <w:tr>
        <w:trPr>
          <w:trHeight w:val="23"/>
        </w:trPr>
        <w:tc>
          <w:tcPr>
            <w:tcW w:w="61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6180" w:type="dxa"/>
            <w:vAlign w:val="bottom"/>
          </w:tcPr>
          <w:p>
            <w:pPr>
              <w:spacing w:after="0"/>
              <w:rPr>
                <w:sz w:val="16"/>
                <w:szCs w:val="16"/>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3.1441</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3.7191</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3.1240</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3.6145</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Harrison Aaron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 (416) 504-0004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investor.relations@thecronosgroup.com</w:t>
      </w:r>
    </w:p>
    <w:sectPr>
      <w:pgSz w:w="11900" w:h="16838" w:orient="portrait"/>
      <w:cols w:equalWidth="0" w:num="1">
        <w:col w:w="11240"/>
      </w:cols>
      <w:pgMar w:left="320" w:top="9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4"/>
      <w:numFmt w:val="bullet"/>
      <w:start w:val="1"/>
    </w:lvl>
  </w:abstractNum>
  <w:abstractNum w:abstractNumId="14">
    <w:nsid w:val="431BD7B7"/>
    <w:multiLevelType w:val="hybridMultilevel"/>
    <w:lvl w:ilvl="0">
      <w:lvlJc w:val="left"/>
      <w:lvlText w:val="5"/>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Roman"/>
      <w:start w:val="13"/>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Roman"/>
      <w:start w:val="7"/>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2026-05-11T06:34:20Z</dcterms:created>
  <dcterms:modified xsi:type="dcterms:W3CDTF">2026-05-11T06:34:20Z</dcterms:modified>
</cp:coreProperties>
</file>